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C516E" w14:textId="77777777" w:rsidR="00035617" w:rsidRDefault="00E920E2" w:rsidP="00035617">
      <w:pPr>
        <w:spacing w:after="0" w:line="240" w:lineRule="auto"/>
        <w:jc w:val="right"/>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 xml:space="preserve">Raamatupidamise seaduse </w:t>
      </w:r>
      <w:r>
        <w:rPr>
          <w:rFonts w:ascii="Times New Roman" w:eastAsia="Times New Roman" w:hAnsi="Times New Roman" w:cs="Times New Roman"/>
          <w:kern w:val="0"/>
          <w:lang w:eastAsia="et-EE"/>
          <w14:ligatures w14:val="none"/>
        </w:rPr>
        <w:t xml:space="preserve">ja audiitortegevuse seaduse </w:t>
      </w:r>
    </w:p>
    <w:p w14:paraId="3F327D05" w14:textId="07011697" w:rsidR="00E920E2" w:rsidRPr="00E920E2" w:rsidRDefault="00E920E2" w:rsidP="00035617">
      <w:pPr>
        <w:spacing w:after="0" w:line="240" w:lineRule="auto"/>
        <w:jc w:val="right"/>
        <w:textAlignment w:val="baseline"/>
        <w:rPr>
          <w:rFonts w:ascii="Segoe UI" w:eastAsia="Times New Roman" w:hAnsi="Segoe UI" w:cs="Segoe UI"/>
          <w:kern w:val="0"/>
          <w:sz w:val="18"/>
          <w:szCs w:val="18"/>
          <w:lang w:eastAsia="et-EE"/>
          <w14:ligatures w14:val="none"/>
        </w:rPr>
      </w:pPr>
      <w:r w:rsidRPr="00E920E2">
        <w:rPr>
          <w:rFonts w:ascii="Times New Roman" w:eastAsia="Times New Roman" w:hAnsi="Times New Roman" w:cs="Times New Roman"/>
          <w:kern w:val="0"/>
          <w:lang w:eastAsia="et-EE"/>
          <w14:ligatures w14:val="none"/>
        </w:rPr>
        <w:t>muutmise seaduse eelnõu seletuskirja juurde</w:t>
      </w:r>
      <w:r w:rsidRPr="00E920E2">
        <w:rPr>
          <w:rFonts w:ascii="Arial" w:eastAsia="Times New Roman" w:hAnsi="Arial" w:cs="Arial"/>
          <w:kern w:val="0"/>
          <w:lang w:eastAsia="et-EE"/>
          <w14:ligatures w14:val="none"/>
        </w:rPr>
        <w:t> </w:t>
      </w:r>
      <w:r w:rsidRPr="00E920E2">
        <w:rPr>
          <w:rFonts w:ascii="Times New Roman" w:eastAsia="Times New Roman" w:hAnsi="Times New Roman" w:cs="Times New Roman"/>
          <w:kern w:val="0"/>
          <w:lang w:eastAsia="et-EE"/>
          <w14:ligatures w14:val="none"/>
        </w:rPr>
        <w:t> </w:t>
      </w:r>
    </w:p>
    <w:p w14:paraId="0EF30A4D" w14:textId="4CF25058" w:rsidR="00E920E2" w:rsidRDefault="00E920E2" w:rsidP="00035617">
      <w:pPr>
        <w:spacing w:after="0" w:line="240" w:lineRule="auto"/>
        <w:jc w:val="right"/>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Lisa  </w:t>
      </w:r>
      <w:r w:rsidR="00035617">
        <w:rPr>
          <w:rFonts w:ascii="Times New Roman" w:eastAsia="Times New Roman" w:hAnsi="Times New Roman" w:cs="Times New Roman"/>
          <w:kern w:val="0"/>
          <w:lang w:eastAsia="et-EE"/>
          <w14:ligatures w14:val="none"/>
        </w:rPr>
        <w:t>2</w:t>
      </w:r>
    </w:p>
    <w:p w14:paraId="3297A57D" w14:textId="77777777" w:rsidR="005B7208" w:rsidRPr="00E920E2" w:rsidRDefault="005B7208" w:rsidP="00E920E2">
      <w:pPr>
        <w:spacing w:after="0" w:line="240" w:lineRule="auto"/>
        <w:jc w:val="right"/>
        <w:textAlignment w:val="baseline"/>
        <w:rPr>
          <w:rFonts w:ascii="Segoe UI" w:eastAsia="Times New Roman" w:hAnsi="Segoe UI" w:cs="Segoe UI"/>
          <w:kern w:val="0"/>
          <w:sz w:val="18"/>
          <w:szCs w:val="18"/>
          <w:lang w:eastAsia="et-EE"/>
          <w14:ligatures w14:val="none"/>
        </w:rPr>
      </w:pPr>
    </w:p>
    <w:p w14:paraId="1CDEEB84" w14:textId="77777777" w:rsidR="00E920E2" w:rsidRDefault="00E920E2" w:rsidP="00E920E2">
      <w:pPr>
        <w:spacing w:after="0" w:line="240" w:lineRule="auto"/>
        <w:jc w:val="center"/>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b/>
          <w:bCs/>
          <w:kern w:val="0"/>
          <w:lang w:eastAsia="et-EE"/>
          <w14:ligatures w14:val="none"/>
        </w:rPr>
        <w:t>Kooskõlastustabel</w:t>
      </w:r>
      <w:r w:rsidRPr="00E920E2">
        <w:rPr>
          <w:rFonts w:ascii="Times New Roman" w:eastAsia="Times New Roman" w:hAnsi="Times New Roman" w:cs="Times New Roman"/>
          <w:kern w:val="0"/>
          <w:lang w:eastAsia="et-EE"/>
          <w14:ligatures w14:val="none"/>
        </w:rPr>
        <w:t> </w:t>
      </w:r>
    </w:p>
    <w:p w14:paraId="73806A9B" w14:textId="77777777" w:rsidR="005B7208" w:rsidRDefault="005B7208" w:rsidP="005B7208">
      <w:pPr>
        <w:spacing w:after="0" w:line="240" w:lineRule="auto"/>
        <w:jc w:val="both"/>
        <w:textAlignment w:val="baseline"/>
        <w:rPr>
          <w:rFonts w:ascii="Segoe UI" w:eastAsia="Times New Roman" w:hAnsi="Segoe UI" w:cs="Segoe UI"/>
          <w:kern w:val="0"/>
          <w:sz w:val="18"/>
          <w:szCs w:val="18"/>
          <w:lang w:eastAsia="et-EE"/>
          <w14:ligatures w14:val="none"/>
        </w:rPr>
      </w:pPr>
    </w:p>
    <w:p w14:paraId="2EFDDBA1" w14:textId="3290AE6D" w:rsidR="00E920E2" w:rsidRDefault="00E920E2" w:rsidP="005B7208">
      <w:pPr>
        <w:spacing w:after="0" w:line="240" w:lineRule="auto"/>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I </w:t>
      </w:r>
      <w:r w:rsidRPr="00E920E2">
        <w:rPr>
          <w:rFonts w:ascii="Times New Roman" w:eastAsia="Times New Roman" w:hAnsi="Times New Roman" w:cs="Times New Roman"/>
          <w:b/>
          <w:bCs/>
          <w:kern w:val="0"/>
          <w:lang w:eastAsia="et-EE"/>
          <w14:ligatures w14:val="none"/>
        </w:rPr>
        <w:t>KOOSKÕLASTUSRINGI TAGASISIDE</w:t>
      </w:r>
      <w:r w:rsidRPr="00E920E2">
        <w:rPr>
          <w:rFonts w:ascii="Times New Roman" w:eastAsia="Times New Roman" w:hAnsi="Times New Roman" w:cs="Times New Roman"/>
          <w:kern w:val="0"/>
          <w:lang w:eastAsia="et-EE"/>
          <w14:ligatures w14:val="none"/>
        </w:rPr>
        <w:t>  </w:t>
      </w:r>
    </w:p>
    <w:p w14:paraId="072E8241" w14:textId="77777777" w:rsidR="005B7208" w:rsidRPr="00E920E2" w:rsidRDefault="005B7208" w:rsidP="00E920E2">
      <w:pPr>
        <w:spacing w:after="0" w:line="240" w:lineRule="auto"/>
        <w:textAlignment w:val="baseline"/>
        <w:rPr>
          <w:rFonts w:ascii="Segoe UI" w:eastAsia="Times New Roman" w:hAnsi="Segoe UI" w:cs="Segoe UI"/>
          <w:kern w:val="0"/>
          <w:sz w:val="18"/>
          <w:szCs w:val="18"/>
          <w:lang w:eastAsia="et-EE"/>
          <w14:ligatures w14:val="none"/>
        </w:rPr>
      </w:pPr>
    </w:p>
    <w:tbl>
      <w:tblPr>
        <w:tblW w:w="9620"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00"/>
        <w:gridCol w:w="3120"/>
      </w:tblGrid>
      <w:tr w:rsidR="0002371D" w:rsidRPr="00E920E2" w14:paraId="5EB957FE" w14:textId="77777777" w:rsidTr="00035617">
        <w:trPr>
          <w:trHeight w:val="285"/>
        </w:trPr>
        <w:tc>
          <w:tcPr>
            <w:tcW w:w="6500" w:type="dxa"/>
            <w:tcBorders>
              <w:top w:val="single" w:sz="6" w:space="0" w:color="auto"/>
              <w:left w:val="single" w:sz="6" w:space="0" w:color="auto"/>
              <w:bottom w:val="single" w:sz="6" w:space="0" w:color="auto"/>
              <w:right w:val="single" w:sz="6" w:space="0" w:color="auto"/>
            </w:tcBorders>
          </w:tcPr>
          <w:p w14:paraId="016F2E01" w14:textId="098D325F" w:rsidR="0002371D" w:rsidRPr="00E920E2" w:rsidRDefault="0002371D" w:rsidP="00E920E2">
            <w:pPr>
              <w:spacing w:after="0" w:line="240" w:lineRule="auto"/>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Audiitorkogu</w:t>
            </w:r>
          </w:p>
        </w:tc>
        <w:tc>
          <w:tcPr>
            <w:tcW w:w="3120" w:type="dxa"/>
            <w:tcBorders>
              <w:top w:val="single" w:sz="6" w:space="0" w:color="auto"/>
              <w:left w:val="single" w:sz="6" w:space="0" w:color="auto"/>
              <w:bottom w:val="single" w:sz="6" w:space="0" w:color="auto"/>
              <w:right w:val="single" w:sz="6" w:space="0" w:color="auto"/>
            </w:tcBorders>
          </w:tcPr>
          <w:p w14:paraId="2144929D" w14:textId="08048DB6" w:rsidR="0002371D" w:rsidRPr="00E920E2" w:rsidRDefault="0002371D" w:rsidP="00E920E2">
            <w:pPr>
              <w:spacing w:after="0" w:line="240" w:lineRule="auto"/>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Märkused nr </w:t>
            </w:r>
            <w:r w:rsidR="00035617">
              <w:rPr>
                <w:rFonts w:ascii="Times New Roman" w:eastAsia="Times New Roman" w:hAnsi="Times New Roman" w:cs="Times New Roman"/>
                <w:kern w:val="0"/>
                <w:lang w:eastAsia="et-EE"/>
                <w14:ligatures w14:val="none"/>
              </w:rPr>
              <w:t>1</w:t>
            </w:r>
            <w:r w:rsidR="005B7208" w:rsidRPr="005B7208">
              <w:rPr>
                <w:rFonts w:ascii="Times New Roman" w:eastAsia="Times New Roman" w:hAnsi="Times New Roman" w:cs="Times New Roman"/>
                <w:kern w:val="0"/>
                <w:lang w:eastAsia="et-EE"/>
                <w14:ligatures w14:val="none"/>
              </w:rPr>
              <w:t>–</w:t>
            </w:r>
            <w:r w:rsidR="00035617">
              <w:rPr>
                <w:rFonts w:ascii="Times New Roman" w:eastAsia="Times New Roman" w:hAnsi="Times New Roman" w:cs="Times New Roman"/>
                <w:kern w:val="0"/>
                <w:lang w:eastAsia="et-EE"/>
                <w14:ligatures w14:val="none"/>
              </w:rPr>
              <w:t>6</w:t>
            </w:r>
          </w:p>
        </w:tc>
      </w:tr>
      <w:tr w:rsidR="00E920E2" w:rsidRPr="00E920E2" w14:paraId="588B9F54" w14:textId="77777777" w:rsidTr="00035617">
        <w:trPr>
          <w:trHeight w:val="285"/>
        </w:trPr>
        <w:tc>
          <w:tcPr>
            <w:tcW w:w="6500" w:type="dxa"/>
            <w:tcBorders>
              <w:top w:val="single" w:sz="6" w:space="0" w:color="auto"/>
              <w:left w:val="single" w:sz="6" w:space="0" w:color="auto"/>
              <w:bottom w:val="single" w:sz="6" w:space="0" w:color="auto"/>
              <w:right w:val="single" w:sz="6" w:space="0" w:color="auto"/>
            </w:tcBorders>
            <w:hideMark/>
          </w:tcPr>
          <w:p w14:paraId="5F435A68" w14:textId="77777777" w:rsidR="00E920E2" w:rsidRPr="00E920E2" w:rsidRDefault="00E920E2" w:rsidP="00E920E2">
            <w:pPr>
              <w:spacing w:after="0" w:line="240" w:lineRule="auto"/>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Eesti Kaubandus-Tööstuskoda </w:t>
            </w:r>
          </w:p>
        </w:tc>
        <w:tc>
          <w:tcPr>
            <w:tcW w:w="3120" w:type="dxa"/>
            <w:tcBorders>
              <w:top w:val="single" w:sz="6" w:space="0" w:color="auto"/>
              <w:left w:val="single" w:sz="6" w:space="0" w:color="auto"/>
              <w:bottom w:val="single" w:sz="6" w:space="0" w:color="auto"/>
              <w:right w:val="single" w:sz="6" w:space="0" w:color="auto"/>
            </w:tcBorders>
            <w:hideMark/>
          </w:tcPr>
          <w:p w14:paraId="35F0236B" w14:textId="31D5FC8A" w:rsidR="00E920E2" w:rsidRPr="00E920E2" w:rsidRDefault="00E920E2" w:rsidP="00E920E2">
            <w:pPr>
              <w:spacing w:after="0" w:line="240" w:lineRule="auto"/>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Märkus</w:t>
            </w:r>
            <w:r w:rsidR="00EA1017">
              <w:rPr>
                <w:rFonts w:ascii="Times New Roman" w:eastAsia="Times New Roman" w:hAnsi="Times New Roman" w:cs="Times New Roman"/>
                <w:kern w:val="0"/>
                <w:lang w:eastAsia="et-EE"/>
                <w14:ligatures w14:val="none"/>
              </w:rPr>
              <w:t>ed</w:t>
            </w:r>
            <w:r w:rsidRPr="00E920E2">
              <w:rPr>
                <w:rFonts w:ascii="Times New Roman" w:eastAsia="Times New Roman" w:hAnsi="Times New Roman" w:cs="Times New Roman"/>
                <w:kern w:val="0"/>
                <w:lang w:eastAsia="et-EE"/>
                <w14:ligatures w14:val="none"/>
              </w:rPr>
              <w:t xml:space="preserve"> nr </w:t>
            </w:r>
            <w:r w:rsidR="00035617">
              <w:rPr>
                <w:rFonts w:ascii="Times New Roman" w:eastAsia="Times New Roman" w:hAnsi="Times New Roman" w:cs="Times New Roman"/>
                <w:kern w:val="0"/>
                <w:lang w:eastAsia="et-EE"/>
                <w14:ligatures w14:val="none"/>
              </w:rPr>
              <w:t>7</w:t>
            </w:r>
            <w:r w:rsidR="005B7208" w:rsidRPr="005B7208">
              <w:rPr>
                <w:rFonts w:ascii="Times New Roman" w:eastAsia="Times New Roman" w:hAnsi="Times New Roman" w:cs="Times New Roman"/>
                <w:kern w:val="0"/>
                <w:lang w:eastAsia="et-EE"/>
                <w14:ligatures w14:val="none"/>
              </w:rPr>
              <w:t>–</w:t>
            </w:r>
            <w:r w:rsidR="00035617">
              <w:rPr>
                <w:rFonts w:ascii="Times New Roman" w:eastAsia="Times New Roman" w:hAnsi="Times New Roman" w:cs="Times New Roman"/>
                <w:kern w:val="0"/>
                <w:lang w:eastAsia="et-EE"/>
                <w14:ligatures w14:val="none"/>
              </w:rPr>
              <w:t>11</w:t>
            </w:r>
          </w:p>
        </w:tc>
      </w:tr>
      <w:tr w:rsidR="00EA1017" w:rsidRPr="00E920E2" w14:paraId="0C2E9288" w14:textId="77777777" w:rsidTr="00035617">
        <w:trPr>
          <w:trHeight w:val="285"/>
        </w:trPr>
        <w:tc>
          <w:tcPr>
            <w:tcW w:w="6500" w:type="dxa"/>
            <w:tcBorders>
              <w:top w:val="single" w:sz="6" w:space="0" w:color="auto"/>
              <w:left w:val="single" w:sz="6" w:space="0" w:color="auto"/>
              <w:bottom w:val="single" w:sz="6" w:space="0" w:color="auto"/>
              <w:right w:val="single" w:sz="6" w:space="0" w:color="auto"/>
            </w:tcBorders>
          </w:tcPr>
          <w:p w14:paraId="0B7FC88C" w14:textId="60755127" w:rsidR="00EA1017" w:rsidRPr="00E920E2" w:rsidRDefault="00EA1017" w:rsidP="00E920E2">
            <w:pPr>
              <w:spacing w:after="0" w:line="240" w:lineRule="auto"/>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Eesti Raamatupidajate Kogu</w:t>
            </w:r>
          </w:p>
        </w:tc>
        <w:tc>
          <w:tcPr>
            <w:tcW w:w="3120" w:type="dxa"/>
            <w:tcBorders>
              <w:top w:val="single" w:sz="6" w:space="0" w:color="auto"/>
              <w:left w:val="single" w:sz="6" w:space="0" w:color="auto"/>
              <w:bottom w:val="single" w:sz="6" w:space="0" w:color="auto"/>
              <w:right w:val="single" w:sz="6" w:space="0" w:color="auto"/>
            </w:tcBorders>
          </w:tcPr>
          <w:p w14:paraId="403D568F" w14:textId="385F185D" w:rsidR="00EA1017" w:rsidRPr="00E920E2" w:rsidRDefault="00EA1017" w:rsidP="00E920E2">
            <w:pPr>
              <w:spacing w:after="0" w:line="240" w:lineRule="auto"/>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Märkused nr</w:t>
            </w:r>
            <w:r w:rsidR="005B7208">
              <w:rPr>
                <w:rFonts w:ascii="Times New Roman" w:eastAsia="Times New Roman" w:hAnsi="Times New Roman" w:cs="Times New Roman"/>
                <w:kern w:val="0"/>
                <w:lang w:eastAsia="et-EE"/>
                <w14:ligatures w14:val="none"/>
              </w:rPr>
              <w:t xml:space="preserve"> 1</w:t>
            </w:r>
            <w:r w:rsidR="00035617">
              <w:rPr>
                <w:rFonts w:ascii="Times New Roman" w:eastAsia="Times New Roman" w:hAnsi="Times New Roman" w:cs="Times New Roman"/>
                <w:kern w:val="0"/>
                <w:lang w:eastAsia="et-EE"/>
                <w14:ligatures w14:val="none"/>
              </w:rPr>
              <w:t>2</w:t>
            </w:r>
            <w:r w:rsidR="005B7208" w:rsidRPr="005B7208">
              <w:rPr>
                <w:rFonts w:ascii="Times New Roman" w:eastAsia="Times New Roman" w:hAnsi="Times New Roman" w:cs="Times New Roman"/>
                <w:kern w:val="0"/>
                <w:lang w:eastAsia="et-EE"/>
                <w14:ligatures w14:val="none"/>
              </w:rPr>
              <w:t>–</w:t>
            </w:r>
            <w:r w:rsidR="00035617">
              <w:rPr>
                <w:rFonts w:ascii="Times New Roman" w:eastAsia="Times New Roman" w:hAnsi="Times New Roman" w:cs="Times New Roman"/>
                <w:kern w:val="0"/>
                <w:lang w:eastAsia="et-EE"/>
                <w14:ligatures w14:val="none"/>
              </w:rPr>
              <w:t>16</w:t>
            </w:r>
          </w:p>
        </w:tc>
      </w:tr>
      <w:tr w:rsidR="00444C1D" w:rsidRPr="00E920E2" w14:paraId="3F6A70D3" w14:textId="77777777" w:rsidTr="00035617">
        <w:trPr>
          <w:trHeight w:val="285"/>
        </w:trPr>
        <w:tc>
          <w:tcPr>
            <w:tcW w:w="6500" w:type="dxa"/>
            <w:tcBorders>
              <w:top w:val="single" w:sz="6" w:space="0" w:color="auto"/>
              <w:left w:val="single" w:sz="6" w:space="0" w:color="auto"/>
              <w:bottom w:val="single" w:sz="6" w:space="0" w:color="auto"/>
              <w:right w:val="single" w:sz="6" w:space="0" w:color="auto"/>
            </w:tcBorders>
          </w:tcPr>
          <w:p w14:paraId="2DF1D5F0" w14:textId="73B67AE7" w:rsidR="00444C1D" w:rsidRDefault="00444C1D" w:rsidP="00E920E2">
            <w:pPr>
              <w:spacing w:after="0" w:line="240" w:lineRule="auto"/>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Eesti Tööandjate Keskliit</w:t>
            </w:r>
          </w:p>
        </w:tc>
        <w:tc>
          <w:tcPr>
            <w:tcW w:w="3120" w:type="dxa"/>
            <w:tcBorders>
              <w:top w:val="single" w:sz="6" w:space="0" w:color="auto"/>
              <w:left w:val="single" w:sz="6" w:space="0" w:color="auto"/>
              <w:bottom w:val="single" w:sz="6" w:space="0" w:color="auto"/>
              <w:right w:val="single" w:sz="6" w:space="0" w:color="auto"/>
            </w:tcBorders>
          </w:tcPr>
          <w:p w14:paraId="31A91A80" w14:textId="4995FA8D" w:rsidR="00444C1D" w:rsidRDefault="00444C1D" w:rsidP="00E920E2">
            <w:pPr>
              <w:spacing w:after="0" w:line="240" w:lineRule="auto"/>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Märkus nr </w:t>
            </w:r>
            <w:r w:rsidR="00035617">
              <w:rPr>
                <w:rFonts w:ascii="Times New Roman" w:eastAsia="Times New Roman" w:hAnsi="Times New Roman" w:cs="Times New Roman"/>
                <w:kern w:val="0"/>
                <w:lang w:eastAsia="et-EE"/>
                <w14:ligatures w14:val="none"/>
              </w:rPr>
              <w:t>17</w:t>
            </w:r>
          </w:p>
        </w:tc>
      </w:tr>
    </w:tbl>
    <w:p w14:paraId="7F6C4316" w14:textId="77777777" w:rsidR="00E920E2" w:rsidRPr="00E920E2" w:rsidRDefault="00E920E2" w:rsidP="00E920E2">
      <w:pPr>
        <w:spacing w:after="0" w:line="240" w:lineRule="auto"/>
        <w:textAlignment w:val="baseline"/>
        <w:rPr>
          <w:rFonts w:ascii="Segoe UI" w:eastAsia="Times New Roman" w:hAnsi="Segoe UI" w:cs="Segoe UI"/>
          <w:kern w:val="0"/>
          <w:sz w:val="18"/>
          <w:szCs w:val="18"/>
          <w:lang w:eastAsia="et-EE"/>
          <w14:ligatures w14:val="none"/>
        </w:rPr>
      </w:pPr>
      <w:r w:rsidRPr="00E920E2">
        <w:rPr>
          <w:rFonts w:ascii="Times New Roman" w:eastAsia="Times New Roman" w:hAnsi="Times New Roman" w:cs="Times New Roman"/>
          <w:kern w:val="0"/>
          <w:lang w:eastAsia="et-EE"/>
          <w14:ligatures w14:val="none"/>
        </w:rPr>
        <w:t>  </w:t>
      </w:r>
    </w:p>
    <w:p w14:paraId="7756A092" w14:textId="77777777" w:rsidR="00E920E2" w:rsidRPr="00E920E2" w:rsidRDefault="00E920E2" w:rsidP="00E920E2">
      <w:pPr>
        <w:spacing w:after="0" w:line="240" w:lineRule="auto"/>
        <w:textAlignment w:val="baseline"/>
        <w:rPr>
          <w:rFonts w:ascii="Segoe UI" w:eastAsia="Times New Roman" w:hAnsi="Segoe UI" w:cs="Segoe UI"/>
          <w:kern w:val="0"/>
          <w:sz w:val="18"/>
          <w:szCs w:val="18"/>
          <w:lang w:eastAsia="et-EE"/>
          <w14:ligatures w14:val="none"/>
        </w:rPr>
      </w:pPr>
      <w:r w:rsidRPr="00E920E2">
        <w:rPr>
          <w:rFonts w:ascii="Times New Roman" w:eastAsia="Times New Roman" w:hAnsi="Times New Roman" w:cs="Times New Roman"/>
          <w:kern w:val="0"/>
          <w:lang w:eastAsia="et-EE"/>
          <w14:ligatures w14:val="none"/>
        </w:rPr>
        <w:t>  </w:t>
      </w:r>
    </w:p>
    <w:p w14:paraId="515AEB5D" w14:textId="77777777" w:rsidR="00E920E2" w:rsidRPr="00E920E2" w:rsidRDefault="00E920E2" w:rsidP="00E920E2">
      <w:pPr>
        <w:spacing w:after="0" w:line="240" w:lineRule="auto"/>
        <w:textAlignment w:val="baseline"/>
        <w:rPr>
          <w:rFonts w:ascii="Segoe UI" w:eastAsia="Times New Roman" w:hAnsi="Segoe UI" w:cs="Segoe UI"/>
          <w:kern w:val="0"/>
          <w:sz w:val="18"/>
          <w:szCs w:val="18"/>
          <w:lang w:eastAsia="et-EE"/>
          <w14:ligatures w14:val="none"/>
        </w:rPr>
      </w:pPr>
      <w:r w:rsidRPr="00E920E2">
        <w:rPr>
          <w:rFonts w:ascii="Times New Roman" w:eastAsia="Times New Roman" w:hAnsi="Times New Roman" w:cs="Times New Roman"/>
          <w:kern w:val="0"/>
          <w:lang w:eastAsia="et-EE"/>
          <w14:ligatures w14:val="none"/>
        </w:rPr>
        <w:t>  </w:t>
      </w:r>
    </w:p>
    <w:tbl>
      <w:tblPr>
        <w:tblStyle w:val="Kontuurtabel"/>
        <w:tblW w:w="10514" w:type="dxa"/>
        <w:tblInd w:w="-596" w:type="dxa"/>
        <w:tblLayout w:type="fixed"/>
        <w:tblCellMar>
          <w:left w:w="0" w:type="dxa"/>
          <w:right w:w="0" w:type="dxa"/>
        </w:tblCellMar>
        <w:tblLook w:val="04A0" w:firstRow="1" w:lastRow="0" w:firstColumn="1" w:lastColumn="0" w:noHBand="0" w:noVBand="1"/>
      </w:tblPr>
      <w:tblGrid>
        <w:gridCol w:w="398"/>
        <w:gridCol w:w="5438"/>
        <w:gridCol w:w="2289"/>
        <w:gridCol w:w="2389"/>
      </w:tblGrid>
      <w:tr w:rsidR="00E920E2" w:rsidRPr="00E920E2" w14:paraId="1AF7FC21" w14:textId="77777777" w:rsidTr="00437792">
        <w:trPr>
          <w:trHeight w:val="285"/>
        </w:trPr>
        <w:tc>
          <w:tcPr>
            <w:tcW w:w="398" w:type="dxa"/>
            <w:hideMark/>
          </w:tcPr>
          <w:p w14:paraId="28041F09" w14:textId="77777777" w:rsidR="00E920E2" w:rsidRPr="00E920E2" w:rsidRDefault="00E920E2" w:rsidP="00E920E2">
            <w:pPr>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  </w:t>
            </w:r>
          </w:p>
          <w:p w14:paraId="4127645A" w14:textId="77777777" w:rsidR="00E920E2" w:rsidRPr="00E920E2" w:rsidRDefault="00E920E2" w:rsidP="00E920E2">
            <w:pPr>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b/>
                <w:bCs/>
                <w:kern w:val="0"/>
                <w:lang w:eastAsia="et-EE"/>
                <w14:ligatures w14:val="none"/>
              </w:rPr>
              <w:t>Nr</w:t>
            </w:r>
            <w:r w:rsidRPr="00E920E2">
              <w:rPr>
                <w:rFonts w:ascii="Times New Roman" w:eastAsia="Times New Roman" w:hAnsi="Times New Roman" w:cs="Times New Roman"/>
                <w:kern w:val="0"/>
                <w:lang w:eastAsia="et-EE"/>
                <w14:ligatures w14:val="none"/>
              </w:rPr>
              <w:t>  </w:t>
            </w:r>
          </w:p>
        </w:tc>
        <w:tc>
          <w:tcPr>
            <w:tcW w:w="5438" w:type="dxa"/>
            <w:hideMark/>
          </w:tcPr>
          <w:p w14:paraId="1F41A07F" w14:textId="77777777" w:rsidR="00E920E2" w:rsidRPr="00E920E2" w:rsidRDefault="00E920E2" w:rsidP="00E920E2">
            <w:pPr>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  </w:t>
            </w:r>
          </w:p>
          <w:p w14:paraId="33B6ECC6" w14:textId="77777777" w:rsidR="00E920E2" w:rsidRPr="00E920E2" w:rsidRDefault="00E920E2" w:rsidP="366B85AD">
            <w:pPr>
              <w:jc w:val="center"/>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b/>
                <w:bCs/>
                <w:kern w:val="0"/>
                <w:lang w:eastAsia="et-EE"/>
                <w14:ligatures w14:val="none"/>
              </w:rPr>
              <w:t>Märkused</w:t>
            </w:r>
            <w:r w:rsidRPr="00E920E2">
              <w:rPr>
                <w:rFonts w:ascii="Times New Roman" w:eastAsia="Times New Roman" w:hAnsi="Times New Roman" w:cs="Times New Roman"/>
                <w:kern w:val="0"/>
                <w:lang w:eastAsia="et-EE"/>
                <w14:ligatures w14:val="none"/>
              </w:rPr>
              <w:t>  </w:t>
            </w:r>
          </w:p>
        </w:tc>
        <w:tc>
          <w:tcPr>
            <w:tcW w:w="2289" w:type="dxa"/>
            <w:hideMark/>
          </w:tcPr>
          <w:p w14:paraId="0BA62A18" w14:textId="77777777" w:rsidR="00E920E2" w:rsidRPr="00E920E2" w:rsidRDefault="00E920E2" w:rsidP="366B85AD">
            <w:pPr>
              <w:jc w:val="center"/>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b/>
                <w:bCs/>
                <w:kern w:val="0"/>
                <w:lang w:eastAsia="et-EE"/>
                <w14:ligatures w14:val="none"/>
              </w:rPr>
              <w:t>Arvestatud/</w:t>
            </w:r>
            <w:r w:rsidRPr="00E920E2">
              <w:rPr>
                <w:rFonts w:ascii="Times New Roman" w:eastAsia="Times New Roman" w:hAnsi="Times New Roman" w:cs="Times New Roman"/>
                <w:kern w:val="0"/>
                <w:lang w:eastAsia="et-EE"/>
                <w14:ligatures w14:val="none"/>
              </w:rPr>
              <w:t>  </w:t>
            </w:r>
          </w:p>
          <w:p w14:paraId="13702AC6" w14:textId="77777777" w:rsidR="00437792" w:rsidRDefault="4CBED1C6" w:rsidP="366B85AD">
            <w:pPr>
              <w:jc w:val="center"/>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b/>
                <w:bCs/>
                <w:kern w:val="0"/>
                <w:lang w:eastAsia="et-EE"/>
                <w14:ligatures w14:val="none"/>
              </w:rPr>
              <w:t>M</w:t>
            </w:r>
            <w:r w:rsidR="00E920E2" w:rsidRPr="00E920E2">
              <w:rPr>
                <w:rFonts w:ascii="Times New Roman" w:eastAsia="Times New Roman" w:hAnsi="Times New Roman" w:cs="Times New Roman"/>
                <w:b/>
                <w:bCs/>
                <w:kern w:val="0"/>
                <w:lang w:eastAsia="et-EE"/>
                <w14:ligatures w14:val="none"/>
              </w:rPr>
              <w:t>ittearvestatud/</w:t>
            </w:r>
            <w:r w:rsidR="00E920E2" w:rsidRPr="00E920E2">
              <w:rPr>
                <w:rFonts w:ascii="Times New Roman" w:eastAsia="Times New Roman" w:hAnsi="Times New Roman" w:cs="Times New Roman"/>
                <w:kern w:val="0"/>
                <w:lang w:eastAsia="et-EE"/>
                <w14:ligatures w14:val="none"/>
              </w:rPr>
              <w:t> </w:t>
            </w:r>
          </w:p>
          <w:p w14:paraId="05FCEC1B" w14:textId="1D02E74D" w:rsidR="00E920E2" w:rsidRPr="00E920E2" w:rsidRDefault="5F6B2ACD" w:rsidP="366B85AD">
            <w:pPr>
              <w:jc w:val="center"/>
              <w:textAlignment w:val="baseline"/>
              <w:rPr>
                <w:rFonts w:ascii="Times New Roman" w:eastAsia="Times New Roman" w:hAnsi="Times New Roman" w:cs="Times New Roman"/>
                <w:kern w:val="0"/>
                <w:lang w:eastAsia="et-EE"/>
                <w14:ligatures w14:val="none"/>
              </w:rPr>
            </w:pPr>
            <w:r w:rsidRPr="6045D7B0">
              <w:rPr>
                <w:rFonts w:ascii="Times New Roman" w:eastAsia="Times New Roman" w:hAnsi="Times New Roman" w:cs="Times New Roman"/>
                <w:b/>
                <w:bCs/>
                <w:kern w:val="0"/>
                <w:lang w:eastAsia="et-EE"/>
                <w14:ligatures w14:val="none"/>
              </w:rPr>
              <w:t>T</w:t>
            </w:r>
            <w:r w:rsidR="58156EBE" w:rsidRPr="6045D7B0">
              <w:rPr>
                <w:rFonts w:ascii="Times New Roman" w:eastAsia="Times New Roman" w:hAnsi="Times New Roman" w:cs="Times New Roman"/>
                <w:b/>
                <w:bCs/>
                <w:kern w:val="0"/>
                <w:lang w:eastAsia="et-EE"/>
                <w14:ligatures w14:val="none"/>
              </w:rPr>
              <w:t xml:space="preserve">eadmiseks </w:t>
            </w:r>
            <w:r w:rsidR="4CBED1C6" w:rsidRPr="6045D7B0">
              <w:rPr>
                <w:rFonts w:ascii="Times New Roman" w:eastAsia="Times New Roman" w:hAnsi="Times New Roman" w:cs="Times New Roman"/>
                <w:b/>
                <w:bCs/>
                <w:kern w:val="0"/>
                <w:lang w:eastAsia="et-EE"/>
                <w14:ligatures w14:val="none"/>
              </w:rPr>
              <w:t>võetud</w:t>
            </w:r>
            <w:r w:rsidR="00E920E2" w:rsidRPr="6045D7B0">
              <w:rPr>
                <w:rFonts w:ascii="Times New Roman" w:eastAsia="Times New Roman" w:hAnsi="Times New Roman" w:cs="Times New Roman"/>
                <w:b/>
                <w:bCs/>
                <w:kern w:val="0"/>
                <w:lang w:eastAsia="et-EE"/>
                <w14:ligatures w14:val="none"/>
              </w:rPr>
              <w:t> </w:t>
            </w:r>
          </w:p>
        </w:tc>
        <w:tc>
          <w:tcPr>
            <w:tcW w:w="2389" w:type="dxa"/>
            <w:hideMark/>
          </w:tcPr>
          <w:p w14:paraId="52FA6C60" w14:textId="77777777" w:rsidR="00E920E2" w:rsidRPr="00E920E2" w:rsidRDefault="00E920E2" w:rsidP="00E920E2">
            <w:pPr>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  </w:t>
            </w:r>
          </w:p>
          <w:p w14:paraId="6C1C766C" w14:textId="77777777" w:rsidR="00E920E2" w:rsidRPr="00E920E2" w:rsidRDefault="00E920E2" w:rsidP="366B85AD">
            <w:pPr>
              <w:jc w:val="center"/>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b/>
                <w:bCs/>
                <w:kern w:val="0"/>
                <w:lang w:eastAsia="et-EE"/>
                <w14:ligatures w14:val="none"/>
              </w:rPr>
              <w:t>RAM märkused</w:t>
            </w:r>
            <w:r w:rsidRPr="00E920E2">
              <w:rPr>
                <w:rFonts w:ascii="Times New Roman" w:eastAsia="Times New Roman" w:hAnsi="Times New Roman" w:cs="Times New Roman"/>
                <w:kern w:val="0"/>
                <w:lang w:eastAsia="et-EE"/>
                <w14:ligatures w14:val="none"/>
              </w:rPr>
              <w:t>  </w:t>
            </w:r>
          </w:p>
        </w:tc>
      </w:tr>
      <w:tr w:rsidR="0002371D" w:rsidRPr="00E920E2" w14:paraId="6C05A968" w14:textId="77777777" w:rsidTr="00437792">
        <w:trPr>
          <w:trHeight w:val="285"/>
        </w:trPr>
        <w:tc>
          <w:tcPr>
            <w:tcW w:w="10514" w:type="dxa"/>
            <w:gridSpan w:val="4"/>
          </w:tcPr>
          <w:p w14:paraId="7F72A3DF" w14:textId="2C3FC773" w:rsidR="0002371D" w:rsidRPr="00E920E2" w:rsidRDefault="0002371D" w:rsidP="00E920E2">
            <w:pPr>
              <w:textAlignment w:val="baseline"/>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Audiitorkogu</w:t>
            </w:r>
          </w:p>
        </w:tc>
      </w:tr>
      <w:tr w:rsidR="00E920E2" w:rsidRPr="00E920E2" w14:paraId="026D84D1" w14:textId="77777777" w:rsidTr="00437792">
        <w:trPr>
          <w:trHeight w:val="285"/>
        </w:trPr>
        <w:tc>
          <w:tcPr>
            <w:tcW w:w="398" w:type="dxa"/>
            <w:hideMark/>
          </w:tcPr>
          <w:p w14:paraId="00F89FF4" w14:textId="29C594CE"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  </w:t>
            </w:r>
            <w:r w:rsidR="00035617">
              <w:rPr>
                <w:rFonts w:ascii="Times New Roman" w:eastAsia="Times New Roman" w:hAnsi="Times New Roman" w:cs="Times New Roman"/>
                <w:b/>
                <w:bCs/>
                <w:kern w:val="0"/>
                <w:lang w:eastAsia="et-EE"/>
                <w14:ligatures w14:val="none"/>
              </w:rPr>
              <w:t>1</w:t>
            </w:r>
          </w:p>
        </w:tc>
        <w:tc>
          <w:tcPr>
            <w:tcW w:w="5438" w:type="dxa"/>
          </w:tcPr>
          <w:p w14:paraId="07E38E73" w14:textId="2F1EAC35"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 xml:space="preserve">Audiitorkogu peab vajalikuks rõhutada, et senise regulatsiooni rakendamiseks on nii kutseühendus kui ka audiitorid teinud märkimisväärseid ajalisi, sisulisi ja rahalisi investeeringuid. Eestis on 97 </w:t>
            </w:r>
            <w:proofErr w:type="spellStart"/>
            <w:r w:rsidRPr="00E920E2">
              <w:rPr>
                <w:rFonts w:ascii="Times New Roman" w:eastAsia="Times New Roman" w:hAnsi="Times New Roman" w:cs="Times New Roman"/>
                <w:kern w:val="0"/>
                <w:lang w:eastAsia="et-EE"/>
                <w14:ligatures w14:val="none"/>
              </w:rPr>
              <w:t>kestlikkusvandeaudiitori</w:t>
            </w:r>
            <w:proofErr w:type="spellEnd"/>
            <w:r w:rsidRPr="00E920E2">
              <w:rPr>
                <w:rFonts w:ascii="Times New Roman" w:eastAsia="Times New Roman" w:hAnsi="Times New Roman" w:cs="Times New Roman"/>
                <w:kern w:val="0"/>
                <w:lang w:eastAsia="et-EE"/>
                <w14:ligatures w14:val="none"/>
              </w:rPr>
              <w:t xml:space="preserve"> kutsega isikut, kes omandasid kvalifikatsiooni olukorras, kus kehtiv regulatsioon nägi ette </w:t>
            </w:r>
            <w:proofErr w:type="spellStart"/>
            <w:r w:rsidRPr="00E920E2">
              <w:rPr>
                <w:rFonts w:ascii="Times New Roman" w:eastAsia="Times New Roman" w:hAnsi="Times New Roman" w:cs="Times New Roman"/>
                <w:kern w:val="0"/>
                <w:lang w:eastAsia="et-EE"/>
                <w14:ligatures w14:val="none"/>
              </w:rPr>
              <w:t>kestlikkusaruandluse</w:t>
            </w:r>
            <w:proofErr w:type="spellEnd"/>
            <w:r w:rsidRPr="00E920E2">
              <w:rPr>
                <w:rFonts w:ascii="Times New Roman" w:eastAsia="Times New Roman" w:hAnsi="Times New Roman" w:cs="Times New Roman"/>
                <w:kern w:val="0"/>
                <w:lang w:eastAsia="et-EE"/>
                <w14:ligatures w14:val="none"/>
              </w:rPr>
              <w:t xml:space="preserve"> ja selle audiitorkontrolli oluliselt laiemat rakendumist.</w:t>
            </w:r>
          </w:p>
          <w:p w14:paraId="0955A746" w14:textId="4647E7A8"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proofErr w:type="spellStart"/>
            <w:r w:rsidRPr="00E920E2">
              <w:rPr>
                <w:rFonts w:ascii="Times New Roman" w:eastAsia="Times New Roman" w:hAnsi="Times New Roman" w:cs="Times New Roman"/>
                <w:kern w:val="0"/>
                <w:lang w:eastAsia="et-EE"/>
                <w14:ligatures w14:val="none"/>
              </w:rPr>
              <w:t>Kestlikkusvandeaudiitori</w:t>
            </w:r>
            <w:proofErr w:type="spellEnd"/>
            <w:r w:rsidRPr="00E920E2">
              <w:rPr>
                <w:rFonts w:ascii="Times New Roman" w:eastAsia="Times New Roman" w:hAnsi="Times New Roman" w:cs="Times New Roman"/>
                <w:kern w:val="0"/>
                <w:lang w:eastAsia="et-EE"/>
                <w14:ligatures w14:val="none"/>
              </w:rPr>
              <w:t xml:space="preserve"> kutse omandamine eeldas ulatuslikku täiendõpet ning uute </w:t>
            </w:r>
            <w:r w:rsidR="4FC5A9BA" w:rsidRPr="00E920E2">
              <w:rPr>
                <w:rFonts w:ascii="Times New Roman" w:eastAsia="Times New Roman" w:hAnsi="Times New Roman" w:cs="Times New Roman"/>
                <w:kern w:val="0"/>
                <w:lang w:eastAsia="et-EE"/>
                <w14:ligatures w14:val="none"/>
              </w:rPr>
              <w:t xml:space="preserve"> </w:t>
            </w:r>
            <w:r w:rsidRPr="00E920E2">
              <w:rPr>
                <w:rFonts w:ascii="Times New Roman" w:eastAsia="Times New Roman" w:hAnsi="Times New Roman" w:cs="Times New Roman"/>
                <w:kern w:val="0"/>
                <w:lang w:eastAsia="et-EE"/>
                <w14:ligatures w14:val="none"/>
              </w:rPr>
              <w:t xml:space="preserve">standardite, õigusnormide ja kindlustandvate töövõttude metoodika omandamist. Sellega </w:t>
            </w:r>
          </w:p>
          <w:p w14:paraId="35FED3D0" w14:textId="77777777"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 xml:space="preserve">kaasnes nii audiitorite märkimisväärne isiklik ajakulu ja rahaline panus kui ka Audiitorkogu </w:t>
            </w:r>
          </w:p>
          <w:p w14:paraId="0C10B2EC" w14:textId="77777777"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 xml:space="preserve">investeeringud kutseala arendamisse, sealhulgas koolitusprogrammide ja juhendmaterjalide </w:t>
            </w:r>
          </w:p>
          <w:p w14:paraId="77ACD1D6" w14:textId="77777777"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väljatöötamisse.</w:t>
            </w:r>
          </w:p>
          <w:p w14:paraId="3BFAF13C" w14:textId="77777777"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 xml:space="preserve">Eelnõu tulemusel väheneb kohustusliku </w:t>
            </w:r>
            <w:proofErr w:type="spellStart"/>
            <w:r w:rsidRPr="00E920E2">
              <w:rPr>
                <w:rFonts w:ascii="Times New Roman" w:eastAsia="Times New Roman" w:hAnsi="Times New Roman" w:cs="Times New Roman"/>
                <w:kern w:val="0"/>
                <w:lang w:eastAsia="et-EE"/>
                <w14:ligatures w14:val="none"/>
              </w:rPr>
              <w:t>kestlikkusaruandluse</w:t>
            </w:r>
            <w:proofErr w:type="spellEnd"/>
            <w:r w:rsidRPr="00E920E2">
              <w:rPr>
                <w:rFonts w:ascii="Times New Roman" w:eastAsia="Times New Roman" w:hAnsi="Times New Roman" w:cs="Times New Roman"/>
                <w:kern w:val="0"/>
                <w:lang w:eastAsia="et-EE"/>
                <w14:ligatures w14:val="none"/>
              </w:rPr>
              <w:t xml:space="preserve"> audiitorkontrolli praktiline </w:t>
            </w:r>
          </w:p>
          <w:p w14:paraId="25055341" w14:textId="77777777"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 xml:space="preserve">rakendusala väga olulisel määral. See tähendab, et suure osa </w:t>
            </w:r>
            <w:proofErr w:type="spellStart"/>
            <w:r w:rsidRPr="00E920E2">
              <w:rPr>
                <w:rFonts w:ascii="Times New Roman" w:eastAsia="Times New Roman" w:hAnsi="Times New Roman" w:cs="Times New Roman"/>
                <w:kern w:val="0"/>
                <w:lang w:eastAsia="et-EE"/>
                <w14:ligatures w14:val="none"/>
              </w:rPr>
              <w:t>kestlikkusvandeaudiitorite</w:t>
            </w:r>
            <w:proofErr w:type="spellEnd"/>
            <w:r w:rsidRPr="00E920E2">
              <w:rPr>
                <w:rFonts w:ascii="Times New Roman" w:eastAsia="Times New Roman" w:hAnsi="Times New Roman" w:cs="Times New Roman"/>
                <w:kern w:val="0"/>
                <w:lang w:eastAsia="et-EE"/>
                <w14:ligatures w14:val="none"/>
              </w:rPr>
              <w:t xml:space="preserve"> </w:t>
            </w:r>
          </w:p>
          <w:p w14:paraId="4CFF2854" w14:textId="4C7D9567"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 xml:space="preserve">tehtud investeeringute praktiline väärtus väheneb märkimisväärselt ning paljudel juhtudel sisuliselt kaob. Audiitorkogu hinnangul ei ole see hea õigusloome praktika. Kui turuosalisi suunatakse lühikese aja jooksul tegema mahukaid ettevalmistusi ning seejärel muudetakse </w:t>
            </w:r>
            <w:r w:rsidR="728B31F1" w:rsidRPr="00E920E2">
              <w:rPr>
                <w:rFonts w:ascii="Times New Roman" w:eastAsia="Times New Roman" w:hAnsi="Times New Roman" w:cs="Times New Roman"/>
                <w:kern w:val="0"/>
                <w:lang w:eastAsia="et-EE"/>
                <w14:ligatures w14:val="none"/>
              </w:rPr>
              <w:t xml:space="preserve"> </w:t>
            </w:r>
            <w:r w:rsidRPr="00E920E2">
              <w:rPr>
                <w:rFonts w:ascii="Times New Roman" w:eastAsia="Times New Roman" w:hAnsi="Times New Roman" w:cs="Times New Roman"/>
                <w:kern w:val="0"/>
                <w:lang w:eastAsia="et-EE"/>
                <w14:ligatures w14:val="none"/>
              </w:rPr>
              <w:t>regulatsiooni selliselt, et omandatud kvalifikatsiooni kasutusvõimalus väheneb väga kitsaks, kahjustab see õiguskindlust ja usaldust regulatiivse keskkonna stabiilsuse vastu.</w:t>
            </w:r>
          </w:p>
          <w:p w14:paraId="73BB059D" w14:textId="77777777"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lastRenderedPageBreak/>
              <w:t xml:space="preserve">Palume täiendada mõjuanalüüsi osas, mis käsitleb audiitorite ja Audiitorkogu poolt </w:t>
            </w:r>
          </w:p>
          <w:p w14:paraId="68D355D6" w14:textId="77777777"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proofErr w:type="spellStart"/>
            <w:r w:rsidRPr="00E920E2">
              <w:rPr>
                <w:rFonts w:ascii="Times New Roman" w:eastAsia="Times New Roman" w:hAnsi="Times New Roman" w:cs="Times New Roman"/>
                <w:kern w:val="0"/>
                <w:lang w:eastAsia="et-EE"/>
                <w14:ligatures w14:val="none"/>
              </w:rPr>
              <w:t>kestlikkusvandeaudiitori</w:t>
            </w:r>
            <w:proofErr w:type="spellEnd"/>
            <w:r w:rsidRPr="00E920E2">
              <w:rPr>
                <w:rFonts w:ascii="Times New Roman" w:eastAsia="Times New Roman" w:hAnsi="Times New Roman" w:cs="Times New Roman"/>
                <w:kern w:val="0"/>
                <w:lang w:eastAsia="et-EE"/>
                <w14:ligatures w14:val="none"/>
              </w:rPr>
              <w:t xml:space="preserve"> kutsekvalifikatsiooni omandamiseks ja rakendamiseks tehtud </w:t>
            </w:r>
          </w:p>
          <w:p w14:paraId="5D1D00E5" w14:textId="0E90F20C"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investeeringuid ning nende investeeringute praktilise väärtuse vähenemist.</w:t>
            </w:r>
          </w:p>
        </w:tc>
        <w:tc>
          <w:tcPr>
            <w:tcW w:w="2289" w:type="dxa"/>
            <w:hideMark/>
          </w:tcPr>
          <w:p w14:paraId="3CB8464E" w14:textId="7D0E0A21" w:rsidR="00E920E2" w:rsidRPr="00E920E2" w:rsidRDefault="4DE6C674"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lastRenderedPageBreak/>
              <w:t>  </w:t>
            </w:r>
            <w:r w:rsidR="1077E3B3" w:rsidRPr="00E920E2">
              <w:rPr>
                <w:rFonts w:ascii="Times New Roman" w:eastAsia="Times New Roman" w:hAnsi="Times New Roman" w:cs="Times New Roman"/>
                <w:kern w:val="0"/>
                <w:lang w:eastAsia="et-EE"/>
                <w14:ligatures w14:val="none"/>
              </w:rPr>
              <w:t>Arvestatud</w:t>
            </w:r>
          </w:p>
        </w:tc>
        <w:tc>
          <w:tcPr>
            <w:tcW w:w="2389" w:type="dxa"/>
            <w:hideMark/>
          </w:tcPr>
          <w:p w14:paraId="4DEF9361" w14:textId="3784911D" w:rsidR="00E920E2" w:rsidRPr="00E920E2" w:rsidRDefault="4DE6C674"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 </w:t>
            </w:r>
            <w:r w:rsidR="1505E3FD" w:rsidRPr="00E920E2">
              <w:rPr>
                <w:rFonts w:ascii="Times New Roman" w:eastAsia="Times New Roman" w:hAnsi="Times New Roman" w:cs="Times New Roman"/>
                <w:kern w:val="0"/>
                <w:lang w:eastAsia="et-EE"/>
                <w14:ligatures w14:val="none"/>
              </w:rPr>
              <w:t xml:space="preserve">Seletuskirja </w:t>
            </w:r>
            <w:r w:rsidR="3D0CF1F8" w:rsidRPr="00E920E2">
              <w:rPr>
                <w:rFonts w:ascii="Times New Roman" w:eastAsia="Times New Roman" w:hAnsi="Times New Roman" w:cs="Times New Roman"/>
                <w:kern w:val="0"/>
                <w:lang w:eastAsia="et-EE"/>
                <w14:ligatures w14:val="none"/>
              </w:rPr>
              <w:t>on täiendatud.</w:t>
            </w:r>
          </w:p>
          <w:p w14:paraId="564DD191" w14:textId="77777777"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 </w:t>
            </w:r>
          </w:p>
        </w:tc>
      </w:tr>
      <w:tr w:rsidR="00E920E2" w:rsidRPr="00E920E2" w14:paraId="6646F44D" w14:textId="77777777" w:rsidTr="00437792">
        <w:trPr>
          <w:trHeight w:val="285"/>
        </w:trPr>
        <w:tc>
          <w:tcPr>
            <w:tcW w:w="398" w:type="dxa"/>
            <w:hideMark/>
          </w:tcPr>
          <w:p w14:paraId="3E8CF0EF" w14:textId="0BF4BF16" w:rsidR="00E920E2" w:rsidRPr="005B7208" w:rsidRDefault="00035617" w:rsidP="00E920E2">
            <w:pPr>
              <w:jc w:val="both"/>
              <w:textAlignment w:val="baseline"/>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2</w:t>
            </w:r>
            <w:r w:rsidR="00E920E2" w:rsidRPr="005B7208">
              <w:rPr>
                <w:rFonts w:ascii="Times New Roman" w:eastAsia="Times New Roman" w:hAnsi="Times New Roman" w:cs="Times New Roman"/>
                <w:b/>
                <w:bCs/>
                <w:kern w:val="0"/>
                <w:lang w:eastAsia="et-EE"/>
                <w14:ligatures w14:val="none"/>
              </w:rPr>
              <w:t> </w:t>
            </w:r>
          </w:p>
        </w:tc>
        <w:tc>
          <w:tcPr>
            <w:tcW w:w="5438" w:type="dxa"/>
            <w:hideMark/>
          </w:tcPr>
          <w:p w14:paraId="2BA45701" w14:textId="77777777"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 xml:space="preserve">Seletuskirjas on märgitud, et </w:t>
            </w:r>
            <w:proofErr w:type="spellStart"/>
            <w:r w:rsidRPr="00E920E2">
              <w:rPr>
                <w:rFonts w:ascii="Times New Roman" w:eastAsia="Times New Roman" w:hAnsi="Times New Roman" w:cs="Times New Roman"/>
                <w:kern w:val="0"/>
                <w:lang w:eastAsia="et-EE"/>
                <w14:ligatures w14:val="none"/>
              </w:rPr>
              <w:t>kestlikkusaruande</w:t>
            </w:r>
            <w:proofErr w:type="spellEnd"/>
            <w:r w:rsidRPr="00E920E2">
              <w:rPr>
                <w:rFonts w:ascii="Times New Roman" w:eastAsia="Times New Roman" w:hAnsi="Times New Roman" w:cs="Times New Roman"/>
                <w:kern w:val="0"/>
                <w:lang w:eastAsia="et-EE"/>
                <w14:ligatures w14:val="none"/>
              </w:rPr>
              <w:t xml:space="preserve"> esitamise kohustusega ettevõtjate arv väheneb seniselt ligikaudu 200 ettevõtjalt ja grupilt ligikaudu 10 ettevõtja või grupini. Samuti on hinnatud, et </w:t>
            </w:r>
            <w:proofErr w:type="spellStart"/>
            <w:r w:rsidRPr="00E920E2">
              <w:rPr>
                <w:rFonts w:ascii="Times New Roman" w:eastAsia="Times New Roman" w:hAnsi="Times New Roman" w:cs="Times New Roman"/>
                <w:kern w:val="0"/>
                <w:lang w:eastAsia="et-EE"/>
                <w14:ligatures w14:val="none"/>
              </w:rPr>
              <w:t>kestlikkusaruande</w:t>
            </w:r>
            <w:proofErr w:type="spellEnd"/>
            <w:r w:rsidRPr="00E920E2">
              <w:rPr>
                <w:rFonts w:ascii="Times New Roman" w:eastAsia="Times New Roman" w:hAnsi="Times New Roman" w:cs="Times New Roman"/>
                <w:kern w:val="0"/>
                <w:lang w:eastAsia="et-EE"/>
                <w14:ligatures w14:val="none"/>
              </w:rPr>
              <w:t xml:space="preserve"> audiitorkontrolli turumaht võib väheneda 10 kuni 15 miljonilt eurolt ligikaudu 1 kuni 1,5 miljonile eurole ning teenust võivad tulevikus osutada kuni kümmekond vandeaudiitorit, kes on koondunud peamiselt kolme suuremasse rahvusvahelise taustaga audiitorettevõtjasse.</w:t>
            </w:r>
          </w:p>
          <w:p w14:paraId="256B4DF5" w14:textId="77777777"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 xml:space="preserve">Audiitorkogu hinnangul on tegemist olulise mõjuga audiitorteenuse turu toimimisele. Teenuse sedavõrd tugev kontsentreerumine võib mõjutada nii teenuse kättesaadavust, konkurentsi kui ka hinda. Eraldi tähelepanu vajab avaliku huvi üksuste olukord, kellele kohalduvad </w:t>
            </w:r>
          </w:p>
          <w:p w14:paraId="209A6AD3" w14:textId="77777777"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 xml:space="preserve">audiitorteenuse tellimisel rangemad sõltumatuse ja rotatsiooni nõuded. Kui teenuseosutajate </w:t>
            </w:r>
          </w:p>
          <w:p w14:paraId="5F00EAAE" w14:textId="77777777"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 xml:space="preserve">ring jääb väga kitsaks, võib see praktikas raskendada sobiva ja sõltumatu audiitorettevõtja </w:t>
            </w:r>
          </w:p>
          <w:p w14:paraId="413800BC" w14:textId="77777777"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leidmist.</w:t>
            </w:r>
          </w:p>
          <w:p w14:paraId="1AD87548" w14:textId="4A01878D"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 xml:space="preserve">Lisaks võib kohustuslike töövõttude arvu oluline vähenemine piirata enamiku </w:t>
            </w:r>
            <w:r w:rsidR="765ECD2B" w:rsidRPr="00E920E2">
              <w:rPr>
                <w:rFonts w:ascii="Times New Roman" w:eastAsia="Times New Roman" w:hAnsi="Times New Roman" w:cs="Times New Roman"/>
                <w:kern w:val="0"/>
                <w:lang w:eastAsia="et-EE"/>
                <w14:ligatures w14:val="none"/>
              </w:rPr>
              <w:t xml:space="preserve"> </w:t>
            </w:r>
            <w:proofErr w:type="spellStart"/>
            <w:r w:rsidRPr="00E920E2">
              <w:rPr>
                <w:rFonts w:ascii="Times New Roman" w:eastAsia="Times New Roman" w:hAnsi="Times New Roman" w:cs="Times New Roman"/>
                <w:kern w:val="0"/>
                <w:lang w:eastAsia="et-EE"/>
                <w14:ligatures w14:val="none"/>
              </w:rPr>
              <w:t>kestlikkusvandeaudiitorite</w:t>
            </w:r>
            <w:proofErr w:type="spellEnd"/>
            <w:r w:rsidRPr="00E920E2">
              <w:rPr>
                <w:rFonts w:ascii="Times New Roman" w:eastAsia="Times New Roman" w:hAnsi="Times New Roman" w:cs="Times New Roman"/>
                <w:kern w:val="0"/>
                <w:lang w:eastAsia="et-EE"/>
                <w14:ligatures w14:val="none"/>
              </w:rPr>
              <w:t xml:space="preserve"> võimalusi omandatud pädevust praktikas säilitada ja arendada. </w:t>
            </w:r>
          </w:p>
          <w:p w14:paraId="7D17FEB4" w14:textId="77777777"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proofErr w:type="spellStart"/>
            <w:r w:rsidRPr="00E920E2">
              <w:rPr>
                <w:rFonts w:ascii="Times New Roman" w:eastAsia="Times New Roman" w:hAnsi="Times New Roman" w:cs="Times New Roman"/>
                <w:kern w:val="0"/>
                <w:lang w:eastAsia="et-EE"/>
                <w14:ligatures w14:val="none"/>
              </w:rPr>
              <w:t>Kestlikkusteabe</w:t>
            </w:r>
            <w:proofErr w:type="spellEnd"/>
            <w:r w:rsidRPr="00E920E2">
              <w:rPr>
                <w:rFonts w:ascii="Times New Roman" w:eastAsia="Times New Roman" w:hAnsi="Times New Roman" w:cs="Times New Roman"/>
                <w:kern w:val="0"/>
                <w:lang w:eastAsia="et-EE"/>
                <w14:ligatures w14:val="none"/>
              </w:rPr>
              <w:t xml:space="preserve"> usaldusväärsus jääb samas ka edaspidi oluliseks nii kapitaliturgude, </w:t>
            </w:r>
          </w:p>
          <w:p w14:paraId="1C933E66" w14:textId="77777777"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 xml:space="preserve">finantseerijate kui ka väärtusahelate toimimise seisukohalt. Seetõttu on oluline hinnata, </w:t>
            </w:r>
          </w:p>
          <w:p w14:paraId="57CD7E09" w14:textId="77777777"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kuidas säilitada kutsealal piisav kompetentsibaas ka vähenenud turumahu tingimustes.</w:t>
            </w:r>
          </w:p>
          <w:p w14:paraId="0168F4D7" w14:textId="77777777"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 xml:space="preserve">Palume seletuskirja täiendada analüüsiga, kuidas mõjutab eelnõu </w:t>
            </w:r>
            <w:proofErr w:type="spellStart"/>
            <w:r w:rsidRPr="00E920E2">
              <w:rPr>
                <w:rFonts w:ascii="Times New Roman" w:eastAsia="Times New Roman" w:hAnsi="Times New Roman" w:cs="Times New Roman"/>
                <w:kern w:val="0"/>
                <w:lang w:eastAsia="et-EE"/>
                <w14:ligatures w14:val="none"/>
              </w:rPr>
              <w:t>kestlikkusaruande</w:t>
            </w:r>
            <w:proofErr w:type="spellEnd"/>
            <w:r w:rsidRPr="00E920E2">
              <w:rPr>
                <w:rFonts w:ascii="Times New Roman" w:eastAsia="Times New Roman" w:hAnsi="Times New Roman" w:cs="Times New Roman"/>
                <w:kern w:val="0"/>
                <w:lang w:eastAsia="et-EE"/>
                <w14:ligatures w14:val="none"/>
              </w:rPr>
              <w:t xml:space="preserve"> </w:t>
            </w:r>
          </w:p>
          <w:p w14:paraId="45EE2917" w14:textId="77777777"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 xml:space="preserve">audiitorkontrolli teenuse kättesaadavust, konkurentsi, sõltumatuse nõuete praktilist täitmist ning </w:t>
            </w:r>
            <w:proofErr w:type="spellStart"/>
            <w:r w:rsidRPr="00E920E2">
              <w:rPr>
                <w:rFonts w:ascii="Times New Roman" w:eastAsia="Times New Roman" w:hAnsi="Times New Roman" w:cs="Times New Roman"/>
                <w:kern w:val="0"/>
                <w:lang w:eastAsia="et-EE"/>
                <w14:ligatures w14:val="none"/>
              </w:rPr>
              <w:t>kestlikkusvandeaudiitorite</w:t>
            </w:r>
            <w:proofErr w:type="spellEnd"/>
            <w:r w:rsidRPr="00E920E2">
              <w:rPr>
                <w:rFonts w:ascii="Times New Roman" w:eastAsia="Times New Roman" w:hAnsi="Times New Roman" w:cs="Times New Roman"/>
                <w:kern w:val="0"/>
                <w:lang w:eastAsia="et-EE"/>
                <w14:ligatures w14:val="none"/>
              </w:rPr>
              <w:t xml:space="preserve"> pädevuse säilimist, eriti avaliku huvi üksuste puhul. Samuti palume kaaluda turu toimimise jälgimise vajadust pärast muudatuste jõustumist ning </w:t>
            </w:r>
          </w:p>
          <w:p w14:paraId="5CAB3AB5" w14:textId="77777777"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 xml:space="preserve">võimalusi soodustada omandatud pädevuse kasutamist vabatahtliku </w:t>
            </w:r>
            <w:proofErr w:type="spellStart"/>
            <w:r w:rsidRPr="00E920E2">
              <w:rPr>
                <w:rFonts w:ascii="Times New Roman" w:eastAsia="Times New Roman" w:hAnsi="Times New Roman" w:cs="Times New Roman"/>
                <w:kern w:val="0"/>
                <w:lang w:eastAsia="et-EE"/>
                <w14:ligatures w14:val="none"/>
              </w:rPr>
              <w:t>kestlikkusaruandluse</w:t>
            </w:r>
            <w:proofErr w:type="spellEnd"/>
            <w:r w:rsidRPr="00E920E2">
              <w:rPr>
                <w:rFonts w:ascii="Times New Roman" w:eastAsia="Times New Roman" w:hAnsi="Times New Roman" w:cs="Times New Roman"/>
                <w:kern w:val="0"/>
                <w:lang w:eastAsia="et-EE"/>
                <w14:ligatures w14:val="none"/>
              </w:rPr>
              <w:t xml:space="preserve">, </w:t>
            </w:r>
          </w:p>
          <w:p w14:paraId="2FF82C6A" w14:textId="77777777"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 xml:space="preserve">väärtusahela teabe usaldusväärsuse hindamise ning muude seotud kindlustandvate või </w:t>
            </w:r>
          </w:p>
          <w:p w14:paraId="4003E4B5" w14:textId="5ECC9F3F"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nõustavate töövõttude raames.</w:t>
            </w:r>
          </w:p>
        </w:tc>
        <w:tc>
          <w:tcPr>
            <w:tcW w:w="2289" w:type="dxa"/>
            <w:hideMark/>
          </w:tcPr>
          <w:p w14:paraId="7069C31A" w14:textId="731FFD02" w:rsidR="00E920E2" w:rsidRPr="00E920E2" w:rsidRDefault="05313DAB" w:rsidP="00E920E2">
            <w:pPr>
              <w:jc w:val="center"/>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Arvestatud</w:t>
            </w:r>
            <w:r w:rsidR="00E920E2" w:rsidRPr="00E920E2">
              <w:rPr>
                <w:rFonts w:ascii="Times New Roman" w:eastAsia="Times New Roman" w:hAnsi="Times New Roman" w:cs="Times New Roman"/>
                <w:kern w:val="0"/>
                <w:lang w:eastAsia="et-EE"/>
                <w14:ligatures w14:val="none"/>
              </w:rPr>
              <w:t> </w:t>
            </w:r>
          </w:p>
        </w:tc>
        <w:tc>
          <w:tcPr>
            <w:tcW w:w="2389" w:type="dxa"/>
            <w:hideMark/>
          </w:tcPr>
          <w:p w14:paraId="776EE2EB" w14:textId="56EB9D2D"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 </w:t>
            </w:r>
            <w:r w:rsidR="104083F1" w:rsidRPr="00E920E2">
              <w:rPr>
                <w:rFonts w:ascii="Times New Roman" w:eastAsia="Times New Roman" w:hAnsi="Times New Roman" w:cs="Times New Roman"/>
                <w:kern w:val="0"/>
                <w:lang w:eastAsia="et-EE"/>
                <w14:ligatures w14:val="none"/>
              </w:rPr>
              <w:t>Seletuskirja on täiendatud.</w:t>
            </w:r>
          </w:p>
          <w:p w14:paraId="74045BE9" w14:textId="77777777"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p>
        </w:tc>
      </w:tr>
      <w:tr w:rsidR="00E920E2" w:rsidRPr="00E920E2" w14:paraId="750BB31B" w14:textId="77777777" w:rsidTr="00437792">
        <w:trPr>
          <w:trHeight w:val="285"/>
        </w:trPr>
        <w:tc>
          <w:tcPr>
            <w:tcW w:w="398" w:type="dxa"/>
          </w:tcPr>
          <w:p w14:paraId="6C4D4557" w14:textId="655A02BD" w:rsidR="00E920E2" w:rsidRPr="005B7208" w:rsidRDefault="00035617" w:rsidP="00E920E2">
            <w:pPr>
              <w:jc w:val="both"/>
              <w:textAlignment w:val="baseline"/>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lastRenderedPageBreak/>
              <w:t>3</w:t>
            </w:r>
          </w:p>
        </w:tc>
        <w:tc>
          <w:tcPr>
            <w:tcW w:w="5438" w:type="dxa"/>
          </w:tcPr>
          <w:p w14:paraId="6B69FD22" w14:textId="2AA31C59"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 xml:space="preserve">Eelnõu kohaselt on vandeaudiitoril õigus ja kohustus anda </w:t>
            </w:r>
            <w:proofErr w:type="spellStart"/>
            <w:r w:rsidRPr="00E920E2">
              <w:rPr>
                <w:rFonts w:ascii="Times New Roman" w:eastAsia="Times New Roman" w:hAnsi="Times New Roman" w:cs="Times New Roman"/>
                <w:kern w:val="0"/>
                <w:lang w:eastAsia="et-EE"/>
                <w14:ligatures w14:val="none"/>
              </w:rPr>
              <w:t>kestlikkusaruande</w:t>
            </w:r>
            <w:proofErr w:type="spellEnd"/>
            <w:r w:rsidRPr="00E920E2">
              <w:rPr>
                <w:rFonts w:ascii="Times New Roman" w:eastAsia="Times New Roman" w:hAnsi="Times New Roman" w:cs="Times New Roman"/>
                <w:kern w:val="0"/>
                <w:lang w:eastAsia="et-EE"/>
                <w14:ligatures w14:val="none"/>
              </w:rPr>
              <w:t xml:space="preserve"> audiitorkontrolli aruanne ka juhul, kui väärtusahelasse kuuluv kaitstud ettevõtja esitab üksnes vabatahtliku standardi kohase teabe. Audiitorkogu peab vajalikuks, et seletuskirjas oleks selgelt eristatud vandeaudiitori kohustus töövõtu tulemusel aruanne välja anda ning vandeaudiitori kutsealane hinnang aruande sisule ja järeldusele. Kaitstud ettevõtja õigus piirduda vabatahtliku standardi kohase teabega ei välista, et vandeaudiitor peab töövõtu käigus hindama kogutud tõendusmaterjali piisavust ja asjakohasust ning tegema järelduse kooskõlas kohaldatavate kutsetegevuse standarditega. Palume seletuskirjas täpsustada, et kõnealune säte ei muuda vandeaudiitori kutsetegevuse standarditest tulenevaid kohustusi tõendusmaterjali hindamisel ega järelduse kujundamisel. Vandeaudiitori aruande sisu kujuneb jätkuvalt töövõtu asjaolude, kogutud tõendusmaterjali ja kohaldatavate standardite alusel.</w:t>
            </w:r>
          </w:p>
        </w:tc>
        <w:tc>
          <w:tcPr>
            <w:tcW w:w="2289" w:type="dxa"/>
          </w:tcPr>
          <w:p w14:paraId="5C20FC28" w14:textId="0DB50B59" w:rsidR="00E920E2" w:rsidRPr="00E920E2" w:rsidRDefault="21664BD6" w:rsidP="00E920E2">
            <w:pPr>
              <w:jc w:val="center"/>
              <w:textAlignment w:val="baseline"/>
              <w:rPr>
                <w:rFonts w:ascii="Times New Roman" w:eastAsia="Times New Roman" w:hAnsi="Times New Roman" w:cs="Times New Roman"/>
                <w:kern w:val="0"/>
                <w:lang w:eastAsia="et-EE"/>
                <w14:ligatures w14:val="none"/>
              </w:rPr>
            </w:pPr>
            <w:r w:rsidRPr="6D629E52">
              <w:rPr>
                <w:rFonts w:ascii="Times New Roman" w:eastAsia="Times New Roman" w:hAnsi="Times New Roman" w:cs="Times New Roman"/>
                <w:lang w:eastAsia="et-EE"/>
              </w:rPr>
              <w:t>Arvestatud</w:t>
            </w:r>
          </w:p>
        </w:tc>
        <w:tc>
          <w:tcPr>
            <w:tcW w:w="2389" w:type="dxa"/>
          </w:tcPr>
          <w:p w14:paraId="78767FA4" w14:textId="66B1C1BF" w:rsidR="00E920E2" w:rsidRPr="00E920E2" w:rsidRDefault="21664BD6" w:rsidP="00E920E2">
            <w:pPr>
              <w:jc w:val="both"/>
              <w:textAlignment w:val="baseline"/>
              <w:rPr>
                <w:rFonts w:ascii="Times New Roman" w:eastAsia="Times New Roman" w:hAnsi="Times New Roman" w:cs="Times New Roman"/>
                <w:kern w:val="0"/>
                <w:lang w:eastAsia="et-EE"/>
                <w14:ligatures w14:val="none"/>
              </w:rPr>
            </w:pPr>
            <w:r w:rsidRPr="3AEA66C5">
              <w:rPr>
                <w:rFonts w:ascii="Times New Roman" w:eastAsia="Times New Roman" w:hAnsi="Times New Roman" w:cs="Times New Roman"/>
                <w:lang w:eastAsia="et-EE"/>
              </w:rPr>
              <w:t>Seletuskirja</w:t>
            </w:r>
            <w:r w:rsidRPr="1CA8FE1B">
              <w:rPr>
                <w:rFonts w:ascii="Times New Roman" w:eastAsia="Times New Roman" w:hAnsi="Times New Roman" w:cs="Times New Roman"/>
                <w:lang w:eastAsia="et-EE"/>
              </w:rPr>
              <w:t xml:space="preserve"> </w:t>
            </w:r>
            <w:r w:rsidR="10DAFDDA" w:rsidRPr="7126FE7E">
              <w:rPr>
                <w:rFonts w:ascii="Times New Roman" w:eastAsia="Times New Roman" w:hAnsi="Times New Roman" w:cs="Times New Roman"/>
                <w:lang w:eastAsia="et-EE"/>
              </w:rPr>
              <w:t xml:space="preserve">on </w:t>
            </w:r>
            <w:r w:rsidRPr="11B796FA">
              <w:rPr>
                <w:rFonts w:ascii="Times New Roman" w:eastAsia="Times New Roman" w:hAnsi="Times New Roman" w:cs="Times New Roman"/>
                <w:lang w:eastAsia="et-EE"/>
              </w:rPr>
              <w:t>täiendatud</w:t>
            </w:r>
            <w:r w:rsidR="015EA604" w:rsidRPr="4D352CAD">
              <w:rPr>
                <w:rFonts w:ascii="Times New Roman" w:eastAsia="Times New Roman" w:hAnsi="Times New Roman" w:cs="Times New Roman"/>
                <w:lang w:eastAsia="et-EE"/>
              </w:rPr>
              <w:t>.</w:t>
            </w:r>
          </w:p>
        </w:tc>
      </w:tr>
      <w:tr w:rsidR="00E920E2" w:rsidRPr="00E920E2" w14:paraId="60B2694C" w14:textId="77777777" w:rsidTr="00437792">
        <w:trPr>
          <w:trHeight w:val="285"/>
        </w:trPr>
        <w:tc>
          <w:tcPr>
            <w:tcW w:w="398" w:type="dxa"/>
          </w:tcPr>
          <w:p w14:paraId="0C5A3CB1" w14:textId="1C12DF0B" w:rsidR="00E920E2" w:rsidRPr="00E920E2" w:rsidRDefault="00035617" w:rsidP="00E920E2">
            <w:pPr>
              <w:jc w:val="both"/>
              <w:textAlignment w:val="baseline"/>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4</w:t>
            </w:r>
          </w:p>
        </w:tc>
        <w:tc>
          <w:tcPr>
            <w:tcW w:w="5438" w:type="dxa"/>
          </w:tcPr>
          <w:p w14:paraId="7CD6F763" w14:textId="36874A77"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Paragrahvi 32 täiendatakse lõikega 4</w:t>
            </w:r>
            <w:r w:rsidRPr="00E920E2">
              <w:rPr>
                <w:rFonts w:ascii="Times New Roman" w:eastAsia="Times New Roman" w:hAnsi="Times New Roman" w:cs="Times New Roman"/>
                <w:kern w:val="0"/>
                <w:vertAlign w:val="superscript"/>
                <w:lang w:eastAsia="et-EE"/>
                <w14:ligatures w14:val="none"/>
              </w:rPr>
              <w:t>2</w:t>
            </w:r>
            <w:r w:rsidRPr="00E920E2">
              <w:rPr>
                <w:rFonts w:ascii="Times New Roman" w:eastAsia="Times New Roman" w:hAnsi="Times New Roman" w:cs="Times New Roman"/>
                <w:kern w:val="0"/>
                <w:lang w:eastAsia="et-EE"/>
                <w14:ligatures w14:val="none"/>
              </w:rPr>
              <w:t xml:space="preserve"> järgmises sõnastuses: „(4</w:t>
            </w:r>
            <w:r w:rsidRPr="00E920E2">
              <w:rPr>
                <w:rFonts w:ascii="Times New Roman" w:eastAsia="Times New Roman" w:hAnsi="Times New Roman" w:cs="Times New Roman"/>
                <w:kern w:val="0"/>
                <w:vertAlign w:val="superscript"/>
                <w:lang w:eastAsia="et-EE"/>
                <w14:ligatures w14:val="none"/>
              </w:rPr>
              <w:t>2</w:t>
            </w:r>
            <w:r w:rsidRPr="00E920E2">
              <w:rPr>
                <w:rFonts w:ascii="Times New Roman" w:eastAsia="Times New Roman" w:hAnsi="Times New Roman" w:cs="Times New Roman"/>
                <w:kern w:val="0"/>
                <w:lang w:eastAsia="et-EE"/>
                <w14:ligatures w14:val="none"/>
              </w:rPr>
              <w:t xml:space="preserve">) Finantsvandeaudiitori kutse äravõtmisel või selle kaotamisel võetakse ära või kaotatakse ka </w:t>
            </w:r>
            <w:proofErr w:type="spellStart"/>
            <w:r w:rsidRPr="00E920E2">
              <w:rPr>
                <w:rFonts w:ascii="Times New Roman" w:eastAsia="Times New Roman" w:hAnsi="Times New Roman" w:cs="Times New Roman"/>
                <w:kern w:val="0"/>
                <w:lang w:eastAsia="et-EE"/>
                <w14:ligatures w14:val="none"/>
              </w:rPr>
              <w:t>kestlikkusvandeaudiitori</w:t>
            </w:r>
            <w:proofErr w:type="spellEnd"/>
            <w:r w:rsidRPr="00E920E2">
              <w:rPr>
                <w:rFonts w:ascii="Times New Roman" w:eastAsia="Times New Roman" w:hAnsi="Times New Roman" w:cs="Times New Roman"/>
                <w:kern w:val="0"/>
                <w:lang w:eastAsia="et-EE"/>
                <w14:ligatures w14:val="none"/>
              </w:rPr>
              <w:t xml:space="preserve"> kutse selle olemasolu korral.“ Selguse huvides palume seletuskirjas täpsustada ka vastupidine olukord – st olukord, kus </w:t>
            </w:r>
            <w:proofErr w:type="spellStart"/>
            <w:r w:rsidRPr="00E920E2">
              <w:rPr>
                <w:rFonts w:ascii="Times New Roman" w:eastAsia="Times New Roman" w:hAnsi="Times New Roman" w:cs="Times New Roman"/>
                <w:kern w:val="0"/>
                <w:lang w:eastAsia="et-EE"/>
                <w14:ligatures w14:val="none"/>
              </w:rPr>
              <w:t>kestlikkusvandeaudiitori</w:t>
            </w:r>
            <w:proofErr w:type="spellEnd"/>
            <w:r w:rsidRPr="00E920E2">
              <w:rPr>
                <w:rFonts w:ascii="Times New Roman" w:eastAsia="Times New Roman" w:hAnsi="Times New Roman" w:cs="Times New Roman"/>
                <w:kern w:val="0"/>
                <w:lang w:eastAsia="et-EE"/>
                <w14:ligatures w14:val="none"/>
              </w:rPr>
              <w:t xml:space="preserve"> kutse võetakse ära või kaob. Arvestades, et seaduse kohaselt on tegemist eraldi kutsetega, kuigi </w:t>
            </w:r>
            <w:proofErr w:type="spellStart"/>
            <w:r w:rsidRPr="00E920E2">
              <w:rPr>
                <w:rFonts w:ascii="Times New Roman" w:eastAsia="Times New Roman" w:hAnsi="Times New Roman" w:cs="Times New Roman"/>
                <w:kern w:val="0"/>
                <w:lang w:eastAsia="et-EE"/>
                <w14:ligatures w14:val="none"/>
              </w:rPr>
              <w:t>kestlikkusvandeaudiitori</w:t>
            </w:r>
            <w:proofErr w:type="spellEnd"/>
            <w:r w:rsidRPr="00E920E2">
              <w:rPr>
                <w:rFonts w:ascii="Times New Roman" w:eastAsia="Times New Roman" w:hAnsi="Times New Roman" w:cs="Times New Roman"/>
                <w:kern w:val="0"/>
                <w:lang w:eastAsia="et-EE"/>
                <w14:ligatures w14:val="none"/>
              </w:rPr>
              <w:t xml:space="preserve"> kutse eeldab finantsvandeaudiitori kutse olemasolu, oleks oluline üheselt selgitada, et </w:t>
            </w:r>
            <w:proofErr w:type="spellStart"/>
            <w:r w:rsidRPr="00E920E2">
              <w:rPr>
                <w:rFonts w:ascii="Times New Roman" w:eastAsia="Times New Roman" w:hAnsi="Times New Roman" w:cs="Times New Roman"/>
                <w:kern w:val="0"/>
                <w:lang w:eastAsia="et-EE"/>
                <w14:ligatures w14:val="none"/>
              </w:rPr>
              <w:t>kestlikkusvandeaudiitori</w:t>
            </w:r>
            <w:proofErr w:type="spellEnd"/>
            <w:r w:rsidRPr="00E920E2">
              <w:rPr>
                <w:rFonts w:ascii="Times New Roman" w:eastAsia="Times New Roman" w:hAnsi="Times New Roman" w:cs="Times New Roman"/>
                <w:kern w:val="0"/>
                <w:lang w:eastAsia="et-EE"/>
                <w14:ligatures w14:val="none"/>
              </w:rPr>
              <w:t xml:space="preserve"> kutse äravõtmine ei too automaatselt kaasa finantsvandeaudiitori kutse äravõtmis</w:t>
            </w:r>
            <w:r w:rsidR="008E680E" w:rsidRPr="00E920E2">
              <w:rPr>
                <w:rFonts w:ascii="Times New Roman" w:eastAsia="Times New Roman" w:hAnsi="Times New Roman" w:cs="Times New Roman"/>
                <w:kern w:val="0"/>
                <w:lang w:eastAsia="et-EE"/>
                <w14:ligatures w14:val="none"/>
              </w:rPr>
              <w:t>t</w:t>
            </w:r>
            <w:r w:rsidR="55D4EF4B" w:rsidRPr="00E920E2">
              <w:rPr>
                <w:rFonts w:ascii="Times New Roman" w:eastAsia="Times New Roman" w:hAnsi="Times New Roman" w:cs="Times New Roman"/>
                <w:kern w:val="0"/>
                <w:lang w:eastAsia="et-EE"/>
                <w14:ligatures w14:val="none"/>
              </w:rPr>
              <w:t>.</w:t>
            </w:r>
          </w:p>
        </w:tc>
        <w:tc>
          <w:tcPr>
            <w:tcW w:w="2289" w:type="dxa"/>
          </w:tcPr>
          <w:p w14:paraId="5DDD8DCB" w14:textId="2AB41A3E" w:rsidR="00E920E2" w:rsidRPr="00E920E2" w:rsidRDefault="008E680E" w:rsidP="00E920E2">
            <w:pPr>
              <w:jc w:val="center"/>
              <w:textAlignment w:val="baseline"/>
              <w:rPr>
                <w:rFonts w:ascii="Times New Roman" w:eastAsia="Times New Roman" w:hAnsi="Times New Roman" w:cs="Times New Roman"/>
                <w:kern w:val="0"/>
                <w:lang w:eastAsia="et-EE"/>
                <w14:ligatures w14:val="none"/>
              </w:rPr>
            </w:pPr>
            <w:r w:rsidRPr="366B85AD">
              <w:rPr>
                <w:rFonts w:ascii="Times New Roman" w:eastAsia="Times New Roman" w:hAnsi="Times New Roman" w:cs="Times New Roman"/>
                <w:lang w:eastAsia="et-EE"/>
              </w:rPr>
              <w:t>Arve</w:t>
            </w:r>
            <w:r w:rsidR="76A8CFF0" w:rsidRPr="366B85AD">
              <w:rPr>
                <w:rFonts w:ascii="Times New Roman" w:eastAsia="Times New Roman" w:hAnsi="Times New Roman" w:cs="Times New Roman"/>
                <w:lang w:eastAsia="et-EE"/>
              </w:rPr>
              <w:t>s</w:t>
            </w:r>
            <w:r w:rsidRPr="366B85AD">
              <w:rPr>
                <w:rFonts w:ascii="Times New Roman" w:eastAsia="Times New Roman" w:hAnsi="Times New Roman" w:cs="Times New Roman"/>
                <w:lang w:eastAsia="et-EE"/>
              </w:rPr>
              <w:t>tatud</w:t>
            </w:r>
          </w:p>
        </w:tc>
        <w:tc>
          <w:tcPr>
            <w:tcW w:w="2389" w:type="dxa"/>
          </w:tcPr>
          <w:p w14:paraId="17959644" w14:textId="297324B9" w:rsidR="00E920E2" w:rsidRPr="00E920E2" w:rsidRDefault="008E680E" w:rsidP="00E920E2">
            <w:pPr>
              <w:jc w:val="both"/>
              <w:textAlignment w:val="baseline"/>
              <w:rPr>
                <w:rFonts w:ascii="Times New Roman" w:eastAsia="Times New Roman" w:hAnsi="Times New Roman" w:cs="Times New Roman"/>
                <w:kern w:val="0"/>
                <w:lang w:eastAsia="et-EE"/>
                <w14:ligatures w14:val="none"/>
              </w:rPr>
            </w:pPr>
            <w:r w:rsidRPr="366B85AD">
              <w:rPr>
                <w:rFonts w:ascii="Times New Roman" w:eastAsia="Times New Roman" w:hAnsi="Times New Roman" w:cs="Times New Roman"/>
                <w:lang w:eastAsia="et-EE"/>
              </w:rPr>
              <w:t>Seletuskirja</w:t>
            </w:r>
            <w:r w:rsidR="0DE14F71" w:rsidRPr="366B85AD">
              <w:rPr>
                <w:rFonts w:ascii="Times New Roman" w:eastAsia="Times New Roman" w:hAnsi="Times New Roman" w:cs="Times New Roman"/>
                <w:lang w:eastAsia="et-EE"/>
              </w:rPr>
              <w:t xml:space="preserve"> on</w:t>
            </w:r>
            <w:r w:rsidRPr="366B85AD">
              <w:rPr>
                <w:rFonts w:ascii="Times New Roman" w:eastAsia="Times New Roman" w:hAnsi="Times New Roman" w:cs="Times New Roman"/>
                <w:lang w:eastAsia="et-EE"/>
              </w:rPr>
              <w:t xml:space="preserve"> tä</w:t>
            </w:r>
            <w:r w:rsidR="50F1FA10" w:rsidRPr="366B85AD">
              <w:rPr>
                <w:rFonts w:ascii="Times New Roman" w:eastAsia="Times New Roman" w:hAnsi="Times New Roman" w:cs="Times New Roman"/>
                <w:lang w:eastAsia="et-EE"/>
              </w:rPr>
              <w:t>iendatud</w:t>
            </w:r>
            <w:r w:rsidR="060657A5" w:rsidRPr="366B85AD">
              <w:rPr>
                <w:rFonts w:ascii="Times New Roman" w:eastAsia="Times New Roman" w:hAnsi="Times New Roman" w:cs="Times New Roman"/>
                <w:lang w:eastAsia="et-EE"/>
              </w:rPr>
              <w:t>.</w:t>
            </w:r>
          </w:p>
        </w:tc>
      </w:tr>
      <w:tr w:rsidR="00E920E2" w:rsidRPr="00E920E2" w14:paraId="39DAC681" w14:textId="77777777" w:rsidTr="00437792">
        <w:trPr>
          <w:trHeight w:val="285"/>
        </w:trPr>
        <w:tc>
          <w:tcPr>
            <w:tcW w:w="398" w:type="dxa"/>
          </w:tcPr>
          <w:p w14:paraId="29D175B4" w14:textId="6D6963D2" w:rsidR="00E920E2" w:rsidRPr="00E920E2" w:rsidRDefault="00035617" w:rsidP="00E920E2">
            <w:pPr>
              <w:jc w:val="both"/>
              <w:textAlignment w:val="baseline"/>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5</w:t>
            </w:r>
          </w:p>
        </w:tc>
        <w:tc>
          <w:tcPr>
            <w:tcW w:w="5438" w:type="dxa"/>
          </w:tcPr>
          <w:p w14:paraId="639D4D7C" w14:textId="7DC1B264"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 xml:space="preserve">Kolmandate riikide erisuse käsitluses viidatakse üksnes audiitorettevõtjatele, samas näeb </w:t>
            </w:r>
            <w:proofErr w:type="spellStart"/>
            <w:r w:rsidRPr="00E920E2">
              <w:rPr>
                <w:rFonts w:ascii="Times New Roman" w:eastAsia="Times New Roman" w:hAnsi="Times New Roman" w:cs="Times New Roman"/>
                <w:kern w:val="0"/>
                <w:lang w:eastAsia="et-EE"/>
                <w14:ligatures w14:val="none"/>
              </w:rPr>
              <w:t>AudS</w:t>
            </w:r>
            <w:proofErr w:type="spellEnd"/>
            <w:r w:rsidRPr="00E920E2">
              <w:rPr>
                <w:rFonts w:ascii="Times New Roman" w:eastAsia="Times New Roman" w:hAnsi="Times New Roman" w:cs="Times New Roman"/>
                <w:kern w:val="0"/>
                <w:lang w:eastAsia="et-EE"/>
                <w14:ligatures w14:val="none"/>
              </w:rPr>
              <w:t xml:space="preserve"> § 11 ette regulatsiooni ka vandeaudiitorite kohta eraldi. Sellest tulenevalt palume täpsustada, kas kavandatav erisus on mõeldud hõlmama üksnes audiitorettevõtjaid või ka kolmandatest riikidest pärit vandeaudiitoreid. Tähelepanu vajab seejuures ka mõisteline selgus, kuna audiitorettevõtja tähendus on seaduses kitsam ja praegune sõnastus võib tekitada tõlgendamisriski.</w:t>
            </w:r>
          </w:p>
        </w:tc>
        <w:tc>
          <w:tcPr>
            <w:tcW w:w="2289" w:type="dxa"/>
          </w:tcPr>
          <w:p w14:paraId="24B278BF" w14:textId="6A11F94D" w:rsidR="00E920E2" w:rsidRPr="00E920E2" w:rsidRDefault="63736BA3" w:rsidP="00E920E2">
            <w:pPr>
              <w:jc w:val="center"/>
              <w:textAlignment w:val="baseline"/>
              <w:rPr>
                <w:rFonts w:ascii="Times New Roman" w:eastAsia="Times New Roman" w:hAnsi="Times New Roman" w:cs="Times New Roman"/>
                <w:kern w:val="0"/>
                <w:lang w:eastAsia="et-EE"/>
                <w14:ligatures w14:val="none"/>
              </w:rPr>
            </w:pPr>
            <w:r w:rsidRPr="5DE3DF7C">
              <w:rPr>
                <w:rFonts w:ascii="Times New Roman" w:eastAsia="Times New Roman" w:hAnsi="Times New Roman" w:cs="Times New Roman"/>
                <w:lang w:eastAsia="et-EE"/>
              </w:rPr>
              <w:t>Arvestatud</w:t>
            </w:r>
          </w:p>
        </w:tc>
        <w:tc>
          <w:tcPr>
            <w:tcW w:w="2389" w:type="dxa"/>
          </w:tcPr>
          <w:p w14:paraId="6DCF0409" w14:textId="06C180B5" w:rsidR="00E920E2" w:rsidRPr="00E920E2" w:rsidRDefault="63736BA3" w:rsidP="00E920E2">
            <w:pPr>
              <w:jc w:val="both"/>
              <w:textAlignment w:val="baseline"/>
              <w:rPr>
                <w:rFonts w:ascii="Times New Roman" w:eastAsia="Times New Roman" w:hAnsi="Times New Roman" w:cs="Times New Roman"/>
                <w:kern w:val="0"/>
                <w:lang w:eastAsia="et-EE"/>
                <w14:ligatures w14:val="none"/>
              </w:rPr>
            </w:pPr>
            <w:r w:rsidRPr="3BA8E22F">
              <w:rPr>
                <w:rFonts w:ascii="Times New Roman" w:eastAsia="Times New Roman" w:hAnsi="Times New Roman" w:cs="Times New Roman"/>
                <w:lang w:eastAsia="et-EE"/>
              </w:rPr>
              <w:t xml:space="preserve">Eelnõu ja seletuskirja on </w:t>
            </w:r>
            <w:r w:rsidRPr="72B633D6">
              <w:rPr>
                <w:rFonts w:ascii="Times New Roman" w:eastAsia="Times New Roman" w:hAnsi="Times New Roman" w:cs="Times New Roman"/>
                <w:lang w:eastAsia="et-EE"/>
              </w:rPr>
              <w:t>täiendatud.</w:t>
            </w:r>
          </w:p>
        </w:tc>
      </w:tr>
      <w:tr w:rsidR="00E920E2" w:rsidRPr="00E920E2" w14:paraId="61C80423" w14:textId="77777777" w:rsidTr="00437792">
        <w:trPr>
          <w:trHeight w:val="285"/>
        </w:trPr>
        <w:tc>
          <w:tcPr>
            <w:tcW w:w="398" w:type="dxa"/>
          </w:tcPr>
          <w:p w14:paraId="3D2A6A77" w14:textId="264EED8F" w:rsidR="00E920E2" w:rsidRPr="00E920E2" w:rsidRDefault="00035617" w:rsidP="00E920E2">
            <w:pPr>
              <w:jc w:val="both"/>
              <w:textAlignment w:val="baseline"/>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6</w:t>
            </w:r>
          </w:p>
        </w:tc>
        <w:tc>
          <w:tcPr>
            <w:tcW w:w="5438" w:type="dxa"/>
          </w:tcPr>
          <w:p w14:paraId="1F432083" w14:textId="3245A35C"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Täpsustamist vajab eelnõus esitatud § 2 lõikes 6 (</w:t>
            </w:r>
            <w:proofErr w:type="spellStart"/>
            <w:r w:rsidRPr="00E920E2">
              <w:rPr>
                <w:rFonts w:ascii="Times New Roman" w:eastAsia="Times New Roman" w:hAnsi="Times New Roman" w:cs="Times New Roman"/>
                <w:kern w:val="0"/>
                <w:lang w:eastAsia="et-EE"/>
                <w14:ligatures w14:val="none"/>
              </w:rPr>
              <w:t>AudS</w:t>
            </w:r>
            <w:r w:rsidR="3AF7162F" w:rsidRPr="00E920E2">
              <w:rPr>
                <w:rFonts w:ascii="Times New Roman" w:eastAsia="Times New Roman" w:hAnsi="Times New Roman" w:cs="Times New Roman"/>
                <w:kern w:val="0"/>
                <w:lang w:eastAsia="et-EE"/>
                <w14:ligatures w14:val="none"/>
              </w:rPr>
              <w:t>-</w:t>
            </w:r>
            <w:r w:rsidRPr="00E920E2">
              <w:rPr>
                <w:rFonts w:ascii="Times New Roman" w:eastAsia="Times New Roman" w:hAnsi="Times New Roman" w:cs="Times New Roman"/>
                <w:kern w:val="0"/>
                <w:lang w:eastAsia="et-EE"/>
                <w14:ligatures w14:val="none"/>
              </w:rPr>
              <w:t>i</w:t>
            </w:r>
            <w:proofErr w:type="spellEnd"/>
            <w:r w:rsidRPr="00E920E2">
              <w:rPr>
                <w:rFonts w:ascii="Times New Roman" w:eastAsia="Times New Roman" w:hAnsi="Times New Roman" w:cs="Times New Roman"/>
                <w:kern w:val="0"/>
                <w:lang w:eastAsia="et-EE"/>
                <w14:ligatures w14:val="none"/>
              </w:rPr>
              <w:t xml:space="preserve"> lisatav § 185⁴ „Kolmanda riigi audiitorettevõtja registreerimise erand“) toodud sõnastus. Sätte algus „Kolmanda riigi audiitorettevõtja, kes ei vasta käesoleva seaduse §-s 30</w:t>
            </w:r>
            <w:r w:rsidRPr="00E920E2">
              <w:rPr>
                <w:rFonts w:ascii="Times New Roman" w:eastAsia="Times New Roman" w:hAnsi="Times New Roman" w:cs="Times New Roman"/>
                <w:kern w:val="0"/>
                <w:vertAlign w:val="superscript"/>
                <w:lang w:eastAsia="et-EE"/>
                <w14:ligatures w14:val="none"/>
              </w:rPr>
              <w:t>1</w:t>
            </w:r>
            <w:r w:rsidRPr="00E920E2">
              <w:rPr>
                <w:rFonts w:ascii="Times New Roman" w:eastAsia="Times New Roman" w:hAnsi="Times New Roman" w:cs="Times New Roman"/>
                <w:kern w:val="0"/>
                <w:lang w:eastAsia="et-EE"/>
                <w14:ligatures w14:val="none"/>
              </w:rPr>
              <w:t xml:space="preserve">, § 77 lõikes 1 ja § 158 lõikes 1 sätestatud nõuetele, kuid kes esitab </w:t>
            </w:r>
            <w:proofErr w:type="spellStart"/>
            <w:r w:rsidRPr="00E920E2">
              <w:rPr>
                <w:rFonts w:ascii="Times New Roman" w:eastAsia="Times New Roman" w:hAnsi="Times New Roman" w:cs="Times New Roman"/>
                <w:kern w:val="0"/>
                <w:lang w:eastAsia="et-EE"/>
                <w14:ligatures w14:val="none"/>
              </w:rPr>
              <w:t>kestlikkusaruande</w:t>
            </w:r>
            <w:proofErr w:type="spellEnd"/>
            <w:r w:rsidRPr="00E920E2">
              <w:rPr>
                <w:rFonts w:ascii="Times New Roman" w:eastAsia="Times New Roman" w:hAnsi="Times New Roman" w:cs="Times New Roman"/>
                <w:kern w:val="0"/>
                <w:lang w:eastAsia="et-EE"/>
                <w14:ligatures w14:val="none"/>
              </w:rPr>
              <w:t xml:space="preserve"> vandeaudiitori aruande majandusaastate kohta…“ võimaldab tõlgendust, et regulatsioon hõlmab kõiki kolmanda riigi vandeaudiitoreid, kes ei kuulu §-s 30</w:t>
            </w:r>
            <w:r w:rsidRPr="00E920E2">
              <w:rPr>
                <w:rFonts w:ascii="Times New Roman" w:eastAsia="Times New Roman" w:hAnsi="Times New Roman" w:cs="Times New Roman"/>
                <w:kern w:val="0"/>
                <w:vertAlign w:val="superscript"/>
                <w:lang w:eastAsia="et-EE"/>
                <w14:ligatures w14:val="none"/>
              </w:rPr>
              <w:t>1</w:t>
            </w:r>
            <w:r w:rsidRPr="00E920E2">
              <w:rPr>
                <w:rFonts w:ascii="Times New Roman" w:eastAsia="Times New Roman" w:hAnsi="Times New Roman" w:cs="Times New Roman"/>
                <w:kern w:val="0"/>
                <w:lang w:eastAsia="et-EE"/>
                <w14:ligatures w14:val="none"/>
              </w:rPr>
              <w:t xml:space="preserve"> </w:t>
            </w:r>
            <w:r w:rsidRPr="00E920E2">
              <w:rPr>
                <w:rFonts w:ascii="Times New Roman" w:eastAsia="Times New Roman" w:hAnsi="Times New Roman" w:cs="Times New Roman"/>
                <w:kern w:val="0"/>
                <w:lang w:eastAsia="et-EE"/>
                <w14:ligatures w14:val="none"/>
              </w:rPr>
              <w:lastRenderedPageBreak/>
              <w:t xml:space="preserve">nimetatute hulka. Audiitorkogu hinnangul ei ole see kooskõlas sätte eesmärgiga. Meie arusaama kohaselt peaks nimetatud erand olema piiratud nende kolmanda riigi audiitorettevõtjatega, kes annavad kindlust kolmanda riigi äriühingu </w:t>
            </w:r>
            <w:proofErr w:type="spellStart"/>
            <w:r w:rsidRPr="00E920E2">
              <w:rPr>
                <w:rFonts w:ascii="Times New Roman" w:eastAsia="Times New Roman" w:hAnsi="Times New Roman" w:cs="Times New Roman"/>
                <w:kern w:val="0"/>
                <w:lang w:eastAsia="et-EE"/>
                <w14:ligatures w14:val="none"/>
              </w:rPr>
              <w:t>kestlikkusaruandele</w:t>
            </w:r>
            <w:proofErr w:type="spellEnd"/>
            <w:r w:rsidRPr="00E920E2">
              <w:rPr>
                <w:rFonts w:ascii="Times New Roman" w:eastAsia="Times New Roman" w:hAnsi="Times New Roman" w:cs="Times New Roman"/>
                <w:kern w:val="0"/>
                <w:lang w:eastAsia="et-EE"/>
                <w14:ligatures w14:val="none"/>
              </w:rPr>
              <w:t xml:space="preserve"> juhul, kui selle äriühingu emiteeritud väärtpaberid on võetud kauplemisele Eesti reguleeritud väärtpaberiturule. Eeltoodust tulenevalt teeme ettepaneku täpsustada sätte sõnastust selliselt, et selle kohaldamisala oleks üheselt arusaadav ning väldiks laiendavat tõlgendust kõigile kolmanda riigi audiitorettevõtjatele.</w:t>
            </w:r>
          </w:p>
        </w:tc>
        <w:tc>
          <w:tcPr>
            <w:tcW w:w="2289" w:type="dxa"/>
          </w:tcPr>
          <w:p w14:paraId="6D430DCA" w14:textId="3EF4FC17" w:rsidR="00E920E2" w:rsidRPr="00E920E2" w:rsidRDefault="1269279E" w:rsidP="00E920E2">
            <w:pPr>
              <w:jc w:val="center"/>
              <w:textAlignment w:val="baseline"/>
              <w:rPr>
                <w:rFonts w:ascii="Times New Roman" w:eastAsia="Times New Roman" w:hAnsi="Times New Roman" w:cs="Times New Roman"/>
                <w:kern w:val="0"/>
                <w:lang w:eastAsia="et-EE"/>
                <w14:ligatures w14:val="none"/>
              </w:rPr>
            </w:pPr>
            <w:r w:rsidRPr="09A15E95">
              <w:rPr>
                <w:rFonts w:ascii="Times New Roman" w:eastAsia="Times New Roman" w:hAnsi="Times New Roman" w:cs="Times New Roman"/>
                <w:lang w:eastAsia="et-EE"/>
              </w:rPr>
              <w:lastRenderedPageBreak/>
              <w:t>Arvestatud</w:t>
            </w:r>
          </w:p>
        </w:tc>
        <w:tc>
          <w:tcPr>
            <w:tcW w:w="2389" w:type="dxa"/>
          </w:tcPr>
          <w:p w14:paraId="4074F42C" w14:textId="5BE68676" w:rsidR="00E920E2" w:rsidRPr="00E920E2" w:rsidRDefault="68A51478" w:rsidP="00E920E2">
            <w:pPr>
              <w:jc w:val="both"/>
              <w:textAlignment w:val="baseline"/>
              <w:rPr>
                <w:rFonts w:ascii="Times New Roman" w:eastAsia="Times New Roman" w:hAnsi="Times New Roman" w:cs="Times New Roman"/>
                <w:kern w:val="0"/>
                <w:lang w:eastAsia="et-EE"/>
                <w14:ligatures w14:val="none"/>
              </w:rPr>
            </w:pPr>
            <w:r w:rsidRPr="47F20F95">
              <w:rPr>
                <w:rFonts w:ascii="Times New Roman" w:eastAsia="Times New Roman" w:hAnsi="Times New Roman" w:cs="Times New Roman"/>
                <w:lang w:eastAsia="et-EE"/>
              </w:rPr>
              <w:t xml:space="preserve">Eelnõu ja seletuskirja </w:t>
            </w:r>
            <w:r w:rsidRPr="5DAB1867">
              <w:rPr>
                <w:rFonts w:ascii="Times New Roman" w:eastAsia="Times New Roman" w:hAnsi="Times New Roman" w:cs="Times New Roman"/>
                <w:lang w:eastAsia="et-EE"/>
              </w:rPr>
              <w:t xml:space="preserve">on </w:t>
            </w:r>
            <w:r w:rsidRPr="3EE7C245">
              <w:rPr>
                <w:rFonts w:ascii="Times New Roman" w:eastAsia="Times New Roman" w:hAnsi="Times New Roman" w:cs="Times New Roman"/>
                <w:lang w:eastAsia="et-EE"/>
              </w:rPr>
              <w:t>täiendatud.</w:t>
            </w:r>
          </w:p>
        </w:tc>
      </w:tr>
      <w:tr w:rsidR="00E920E2" w:rsidRPr="00E920E2" w14:paraId="62BD2E65" w14:textId="77777777" w:rsidTr="00437792">
        <w:trPr>
          <w:trHeight w:val="285"/>
        </w:trPr>
        <w:tc>
          <w:tcPr>
            <w:tcW w:w="10514" w:type="dxa"/>
            <w:gridSpan w:val="4"/>
          </w:tcPr>
          <w:p w14:paraId="6D048DB4" w14:textId="21ACD6DF" w:rsidR="00E920E2" w:rsidRPr="00E920E2" w:rsidRDefault="00E920E2" w:rsidP="00E920E2">
            <w:pPr>
              <w:jc w:val="both"/>
              <w:textAlignment w:val="baseline"/>
              <w:rPr>
                <w:rFonts w:ascii="Times New Roman" w:eastAsia="Times New Roman" w:hAnsi="Times New Roman" w:cs="Times New Roman"/>
                <w:b/>
                <w:bCs/>
                <w:kern w:val="0"/>
                <w:lang w:eastAsia="et-EE"/>
                <w14:ligatures w14:val="none"/>
              </w:rPr>
            </w:pPr>
            <w:r w:rsidRPr="00E920E2">
              <w:rPr>
                <w:rFonts w:ascii="Times New Roman" w:eastAsia="Times New Roman" w:hAnsi="Times New Roman" w:cs="Times New Roman"/>
                <w:b/>
                <w:bCs/>
                <w:kern w:val="0"/>
                <w:lang w:eastAsia="et-EE"/>
                <w14:ligatures w14:val="none"/>
              </w:rPr>
              <w:t>Eesti Kaubandus-Tööstuskoda</w:t>
            </w:r>
          </w:p>
        </w:tc>
      </w:tr>
      <w:tr w:rsidR="00E920E2" w:rsidRPr="00E920E2" w14:paraId="715A7411" w14:textId="77777777" w:rsidTr="00437792">
        <w:trPr>
          <w:trHeight w:val="285"/>
        </w:trPr>
        <w:tc>
          <w:tcPr>
            <w:tcW w:w="398" w:type="dxa"/>
          </w:tcPr>
          <w:p w14:paraId="633DA054" w14:textId="38847DC8" w:rsidR="00E920E2" w:rsidRPr="00E920E2" w:rsidRDefault="00035617" w:rsidP="00E920E2">
            <w:pPr>
              <w:jc w:val="both"/>
              <w:textAlignment w:val="baseline"/>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7</w:t>
            </w:r>
          </w:p>
        </w:tc>
        <w:tc>
          <w:tcPr>
            <w:tcW w:w="5438" w:type="dxa"/>
          </w:tcPr>
          <w:p w14:paraId="20F36D87" w14:textId="77777777" w:rsidR="00E920E2" w:rsidRPr="00E920E2" w:rsidRDefault="00E920E2" w:rsidP="00E920E2">
            <w:pPr>
              <w:jc w:val="both"/>
              <w:textAlignment w:val="baseline"/>
              <w:rPr>
                <w:rFonts w:ascii="Times New Roman" w:eastAsia="Times New Roman" w:hAnsi="Times New Roman" w:cs="Times New Roman"/>
                <w:b/>
                <w:bCs/>
                <w:kern w:val="0"/>
                <w:lang w:eastAsia="et-EE"/>
                <w14:ligatures w14:val="none"/>
              </w:rPr>
            </w:pPr>
            <w:proofErr w:type="spellStart"/>
            <w:r w:rsidRPr="00E920E2">
              <w:rPr>
                <w:rFonts w:ascii="Times New Roman" w:eastAsia="Times New Roman" w:hAnsi="Times New Roman" w:cs="Times New Roman"/>
                <w:b/>
                <w:bCs/>
                <w:kern w:val="0"/>
                <w:lang w:eastAsia="et-EE"/>
                <w14:ligatures w14:val="none"/>
              </w:rPr>
              <w:t>Kestlikkusaruandluse</w:t>
            </w:r>
            <w:proofErr w:type="spellEnd"/>
            <w:r w:rsidRPr="00E920E2">
              <w:rPr>
                <w:rFonts w:ascii="Times New Roman" w:eastAsia="Times New Roman" w:hAnsi="Times New Roman" w:cs="Times New Roman"/>
                <w:b/>
                <w:bCs/>
                <w:kern w:val="0"/>
                <w:lang w:eastAsia="et-EE"/>
                <w14:ligatures w14:val="none"/>
              </w:rPr>
              <w:t xml:space="preserve"> esitamise kohustus</w:t>
            </w:r>
          </w:p>
          <w:p w14:paraId="35BD97EE" w14:textId="77777777"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 xml:space="preserve">Eelnõu § 1 punkti 3 kohaselt on edaspidi </w:t>
            </w:r>
            <w:proofErr w:type="spellStart"/>
            <w:r w:rsidRPr="00E920E2">
              <w:rPr>
                <w:rFonts w:ascii="Times New Roman" w:eastAsia="Times New Roman" w:hAnsi="Times New Roman" w:cs="Times New Roman"/>
                <w:kern w:val="0"/>
                <w:lang w:eastAsia="et-EE"/>
                <w14:ligatures w14:val="none"/>
              </w:rPr>
              <w:t>kestlikkusaruande</w:t>
            </w:r>
            <w:proofErr w:type="spellEnd"/>
            <w:r w:rsidRPr="00E920E2">
              <w:rPr>
                <w:rFonts w:ascii="Times New Roman" w:eastAsia="Times New Roman" w:hAnsi="Times New Roman" w:cs="Times New Roman"/>
                <w:kern w:val="0"/>
                <w:lang w:eastAsia="et-EE"/>
                <w14:ligatures w14:val="none"/>
              </w:rPr>
              <w:t xml:space="preserve"> koostamise ja esitamise kohustus üksnes raamatupidamiskohustuslasel, kelle müügitulu aruandeaastale eelneval aastal on üle 450 000 000 euro ja keskmine töötajate arv majandusaasta jooksul üle 1000 töötaja.</w:t>
            </w:r>
          </w:p>
          <w:p w14:paraId="457A4EAA" w14:textId="77777777"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 xml:space="preserve">Kaubanduskoda toetab seda muudatust, sest see võimaldab vähendada ligikaudu 300 Eesti ettevõtja töökoormust ja kulu. Kui kehtiva seaduse kohaselt on </w:t>
            </w:r>
            <w:proofErr w:type="spellStart"/>
            <w:r w:rsidRPr="00E920E2">
              <w:rPr>
                <w:rFonts w:ascii="Times New Roman" w:eastAsia="Times New Roman" w:hAnsi="Times New Roman" w:cs="Times New Roman"/>
                <w:kern w:val="0"/>
                <w:lang w:eastAsia="et-EE"/>
                <w14:ligatures w14:val="none"/>
              </w:rPr>
              <w:t>kestlikkusaruandluse</w:t>
            </w:r>
            <w:proofErr w:type="spellEnd"/>
            <w:r w:rsidRPr="00E920E2">
              <w:rPr>
                <w:rFonts w:ascii="Times New Roman" w:eastAsia="Times New Roman" w:hAnsi="Times New Roman" w:cs="Times New Roman"/>
                <w:kern w:val="0"/>
                <w:lang w:eastAsia="et-EE"/>
                <w14:ligatures w14:val="none"/>
              </w:rPr>
              <w:t xml:space="preserve"> esitamise kohustus ligikaudu 300 suurettevõtjal ning väikese ja keskmise suurusega ettevõtjatel, kes on börsil noteeritud, siis muudatuse jõustudes on see kohustus ligikaudu kümnel ettevõtjal.</w:t>
            </w:r>
          </w:p>
          <w:p w14:paraId="4E3CB358" w14:textId="77777777"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p>
        </w:tc>
        <w:tc>
          <w:tcPr>
            <w:tcW w:w="2289" w:type="dxa"/>
          </w:tcPr>
          <w:p w14:paraId="09B92857" w14:textId="5E4391B1" w:rsidR="00E920E2" w:rsidRPr="00E920E2" w:rsidRDefault="30C19CFA" w:rsidP="00E920E2">
            <w:pPr>
              <w:jc w:val="center"/>
              <w:textAlignment w:val="baseline"/>
              <w:rPr>
                <w:rFonts w:ascii="Times New Roman" w:eastAsia="Times New Roman" w:hAnsi="Times New Roman" w:cs="Times New Roman"/>
                <w:kern w:val="0"/>
                <w:lang w:eastAsia="et-EE"/>
                <w14:ligatures w14:val="none"/>
              </w:rPr>
            </w:pPr>
            <w:r w:rsidRPr="021FC5A8">
              <w:rPr>
                <w:rFonts w:ascii="Times New Roman" w:eastAsia="Times New Roman" w:hAnsi="Times New Roman" w:cs="Times New Roman"/>
                <w:lang w:eastAsia="et-EE"/>
              </w:rPr>
              <w:t>Teadmiseks võetud</w:t>
            </w:r>
          </w:p>
        </w:tc>
        <w:tc>
          <w:tcPr>
            <w:tcW w:w="2389" w:type="dxa"/>
          </w:tcPr>
          <w:p w14:paraId="1F4D3E44" w14:textId="08271784"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p>
        </w:tc>
      </w:tr>
      <w:tr w:rsidR="00E920E2" w:rsidRPr="00E920E2" w14:paraId="204D8DD7" w14:textId="77777777" w:rsidTr="00437792">
        <w:trPr>
          <w:trHeight w:val="285"/>
        </w:trPr>
        <w:tc>
          <w:tcPr>
            <w:tcW w:w="398" w:type="dxa"/>
          </w:tcPr>
          <w:p w14:paraId="68A129A5" w14:textId="45B6A500" w:rsidR="00E920E2" w:rsidRPr="00E920E2" w:rsidRDefault="00035617" w:rsidP="00E920E2">
            <w:pPr>
              <w:jc w:val="both"/>
              <w:textAlignment w:val="baseline"/>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8</w:t>
            </w:r>
          </w:p>
        </w:tc>
        <w:tc>
          <w:tcPr>
            <w:tcW w:w="5438" w:type="dxa"/>
          </w:tcPr>
          <w:p w14:paraId="314A101A" w14:textId="77777777" w:rsidR="00E920E2" w:rsidRPr="00E920E2" w:rsidRDefault="00E920E2" w:rsidP="00E920E2">
            <w:pPr>
              <w:jc w:val="both"/>
              <w:textAlignment w:val="baseline"/>
              <w:rPr>
                <w:rFonts w:ascii="Times New Roman" w:eastAsia="Times New Roman" w:hAnsi="Times New Roman" w:cs="Times New Roman"/>
                <w:b/>
                <w:bCs/>
                <w:kern w:val="0"/>
                <w:lang w:eastAsia="et-EE"/>
                <w14:ligatures w14:val="none"/>
              </w:rPr>
            </w:pPr>
            <w:r w:rsidRPr="00E920E2">
              <w:rPr>
                <w:rFonts w:ascii="Times New Roman" w:eastAsia="Times New Roman" w:hAnsi="Times New Roman" w:cs="Times New Roman"/>
                <w:b/>
                <w:bCs/>
                <w:kern w:val="0"/>
                <w:lang w:eastAsia="et-EE"/>
                <w14:ligatures w14:val="none"/>
              </w:rPr>
              <w:t>Kaitstud ettevõtja kaitseklausel</w:t>
            </w:r>
          </w:p>
          <w:p w14:paraId="01587690" w14:textId="77777777" w:rsid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 xml:space="preserve">Eelnõu § 1 punkti 5 kohaselt võib kaitstud ettevõtja </w:t>
            </w:r>
            <w:proofErr w:type="spellStart"/>
            <w:r w:rsidRPr="00E920E2">
              <w:rPr>
                <w:rFonts w:ascii="Times New Roman" w:eastAsia="Times New Roman" w:hAnsi="Times New Roman" w:cs="Times New Roman"/>
                <w:kern w:val="0"/>
                <w:lang w:eastAsia="et-EE"/>
                <w14:ligatures w14:val="none"/>
              </w:rPr>
              <w:t>kestlikkusaruandjale</w:t>
            </w:r>
            <w:proofErr w:type="spellEnd"/>
            <w:r w:rsidRPr="00E920E2">
              <w:rPr>
                <w:rFonts w:ascii="Times New Roman" w:eastAsia="Times New Roman" w:hAnsi="Times New Roman" w:cs="Times New Roman"/>
                <w:kern w:val="0"/>
                <w:lang w:eastAsia="et-EE"/>
                <w14:ligatures w14:val="none"/>
              </w:rPr>
              <w:t xml:space="preserve"> </w:t>
            </w:r>
            <w:proofErr w:type="spellStart"/>
            <w:r w:rsidRPr="00E920E2">
              <w:rPr>
                <w:rFonts w:ascii="Times New Roman" w:eastAsia="Times New Roman" w:hAnsi="Times New Roman" w:cs="Times New Roman"/>
                <w:kern w:val="0"/>
                <w:lang w:eastAsia="et-EE"/>
                <w14:ligatures w14:val="none"/>
              </w:rPr>
              <w:t>kestlikkusaruande</w:t>
            </w:r>
            <w:proofErr w:type="spellEnd"/>
            <w:r w:rsidRPr="00E920E2">
              <w:rPr>
                <w:rFonts w:ascii="Times New Roman" w:eastAsia="Times New Roman" w:hAnsi="Times New Roman" w:cs="Times New Roman"/>
                <w:kern w:val="0"/>
                <w:lang w:eastAsia="et-EE"/>
                <w14:ligatures w14:val="none"/>
              </w:rPr>
              <w:t xml:space="preserve"> koostamiseks vajaliku teabe esitamisel piirduda Euroopa </w:t>
            </w:r>
            <w:proofErr w:type="spellStart"/>
            <w:r w:rsidRPr="00E920E2">
              <w:rPr>
                <w:rFonts w:ascii="Times New Roman" w:eastAsia="Times New Roman" w:hAnsi="Times New Roman" w:cs="Times New Roman"/>
                <w:kern w:val="0"/>
                <w:lang w:eastAsia="et-EE"/>
                <w14:ligatures w14:val="none"/>
              </w:rPr>
              <w:t>kestlikkusaruandluse</w:t>
            </w:r>
            <w:proofErr w:type="spellEnd"/>
            <w:r w:rsidRPr="00E920E2">
              <w:rPr>
                <w:rFonts w:ascii="Times New Roman" w:eastAsia="Times New Roman" w:hAnsi="Times New Roman" w:cs="Times New Roman"/>
                <w:kern w:val="0"/>
                <w:lang w:eastAsia="et-EE"/>
                <w14:ligatures w14:val="none"/>
              </w:rPr>
              <w:t xml:space="preserve"> vabatahtliku standardi kohase teabega. Lisaks on eelnõu § 1 punktis 14 (raamatupidamise seaduse § 61</w:t>
            </w:r>
            <w:r w:rsidRPr="00E920E2">
              <w:rPr>
                <w:rFonts w:ascii="Times New Roman" w:eastAsia="Times New Roman" w:hAnsi="Times New Roman" w:cs="Times New Roman"/>
                <w:kern w:val="0"/>
                <w:vertAlign w:val="superscript"/>
                <w:lang w:eastAsia="et-EE"/>
                <w14:ligatures w14:val="none"/>
              </w:rPr>
              <w:t>3</w:t>
            </w:r>
            <w:r w:rsidRPr="00E920E2">
              <w:rPr>
                <w:rFonts w:ascii="Times New Roman" w:eastAsia="Times New Roman" w:hAnsi="Times New Roman" w:cs="Times New Roman"/>
                <w:kern w:val="0"/>
                <w:lang w:eastAsia="et-EE"/>
                <w14:ligatures w14:val="none"/>
              </w:rPr>
              <w:t xml:space="preserve"> lg 8) kirjas, et olenemata lepingulistest ja lepinguvälistest kokkulepetest ei nõua </w:t>
            </w:r>
            <w:proofErr w:type="spellStart"/>
            <w:r w:rsidRPr="00E920E2">
              <w:rPr>
                <w:rFonts w:ascii="Times New Roman" w:eastAsia="Times New Roman" w:hAnsi="Times New Roman" w:cs="Times New Roman"/>
                <w:kern w:val="0"/>
                <w:lang w:eastAsia="et-EE"/>
                <w14:ligatures w14:val="none"/>
              </w:rPr>
              <w:t>kestlikkusaruandja</w:t>
            </w:r>
            <w:proofErr w:type="spellEnd"/>
            <w:r w:rsidRPr="00E920E2">
              <w:rPr>
                <w:rFonts w:ascii="Times New Roman" w:eastAsia="Times New Roman" w:hAnsi="Times New Roman" w:cs="Times New Roman"/>
                <w:kern w:val="0"/>
                <w:lang w:eastAsia="et-EE"/>
                <w14:ligatures w14:val="none"/>
              </w:rPr>
              <w:t xml:space="preserve"> kaitstud ettevõtjalt vabatahtlikus </w:t>
            </w:r>
            <w:proofErr w:type="spellStart"/>
            <w:r w:rsidRPr="00E920E2">
              <w:rPr>
                <w:rFonts w:ascii="Times New Roman" w:eastAsia="Times New Roman" w:hAnsi="Times New Roman" w:cs="Times New Roman"/>
                <w:kern w:val="0"/>
                <w:lang w:eastAsia="et-EE"/>
                <w14:ligatures w14:val="none"/>
              </w:rPr>
              <w:t>kestlikkusaruande</w:t>
            </w:r>
            <w:proofErr w:type="spellEnd"/>
            <w:r w:rsidRPr="00E920E2">
              <w:rPr>
                <w:rFonts w:ascii="Times New Roman" w:eastAsia="Times New Roman" w:hAnsi="Times New Roman" w:cs="Times New Roman"/>
                <w:kern w:val="0"/>
                <w:lang w:eastAsia="et-EE"/>
                <w14:ligatures w14:val="none"/>
              </w:rPr>
              <w:t xml:space="preserve"> standardis sätestatud teabest rohkema teabe esitamist. Kaitstud ettevõtja on eelnõu § 1 punkti 2 (raamatupidamise seaduse § 3 punkt 9</w:t>
            </w:r>
            <w:r w:rsidRPr="00E920E2">
              <w:rPr>
                <w:rFonts w:ascii="Times New Roman" w:eastAsia="Times New Roman" w:hAnsi="Times New Roman" w:cs="Times New Roman"/>
                <w:kern w:val="0"/>
                <w:vertAlign w:val="superscript"/>
                <w:lang w:eastAsia="et-EE"/>
                <w14:ligatures w14:val="none"/>
              </w:rPr>
              <w:t>5</w:t>
            </w:r>
            <w:r w:rsidRPr="00E920E2">
              <w:rPr>
                <w:rFonts w:ascii="Times New Roman" w:eastAsia="Times New Roman" w:hAnsi="Times New Roman" w:cs="Times New Roman"/>
                <w:kern w:val="0"/>
                <w:lang w:eastAsia="et-EE"/>
                <w14:ligatures w14:val="none"/>
              </w:rPr>
              <w:t xml:space="preserve">) kohaselt </w:t>
            </w:r>
            <w:proofErr w:type="spellStart"/>
            <w:r w:rsidRPr="00E920E2">
              <w:rPr>
                <w:rFonts w:ascii="Times New Roman" w:eastAsia="Times New Roman" w:hAnsi="Times New Roman" w:cs="Times New Roman"/>
                <w:kern w:val="0"/>
                <w:lang w:eastAsia="et-EE"/>
                <w14:ligatures w14:val="none"/>
              </w:rPr>
              <w:t>kestlikkusaruandja</w:t>
            </w:r>
            <w:proofErr w:type="spellEnd"/>
            <w:r w:rsidRPr="00E920E2">
              <w:rPr>
                <w:rFonts w:ascii="Times New Roman" w:eastAsia="Times New Roman" w:hAnsi="Times New Roman" w:cs="Times New Roman"/>
                <w:kern w:val="0"/>
                <w:lang w:eastAsia="et-EE"/>
                <w14:ligatures w14:val="none"/>
              </w:rPr>
              <w:t xml:space="preserve"> väärtusahelas olev raamatupidamiskohustuslane, kelle keskmine töötajate arv eelmisel aruandeaastal ei ületanud 1000 töötajat.</w:t>
            </w:r>
          </w:p>
          <w:p w14:paraId="313A86E7" w14:textId="77777777"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t xml:space="preserve">Kaubanduskoda peab väga positiivseks, et eelnõusse lisandub kaitseklausel, mis piirab teabe hulka, mida </w:t>
            </w:r>
            <w:proofErr w:type="spellStart"/>
            <w:r w:rsidRPr="00E920E2">
              <w:rPr>
                <w:rFonts w:ascii="Times New Roman" w:eastAsia="Times New Roman" w:hAnsi="Times New Roman" w:cs="Times New Roman"/>
                <w:kern w:val="0"/>
                <w:lang w:eastAsia="et-EE"/>
                <w14:ligatures w14:val="none"/>
              </w:rPr>
              <w:t>kestlikkusaruande</w:t>
            </w:r>
            <w:proofErr w:type="spellEnd"/>
            <w:r w:rsidRPr="00E920E2">
              <w:rPr>
                <w:rFonts w:ascii="Times New Roman" w:eastAsia="Times New Roman" w:hAnsi="Times New Roman" w:cs="Times New Roman"/>
                <w:kern w:val="0"/>
                <w:lang w:eastAsia="et-EE"/>
                <w14:ligatures w14:val="none"/>
              </w:rPr>
              <w:t xml:space="preserve"> koostaja võib oma väärtusahelasse kuuluvatelt ettevõtjatelt nõuda. See aitab tagada, et </w:t>
            </w:r>
            <w:proofErr w:type="spellStart"/>
            <w:r w:rsidRPr="00E920E2">
              <w:rPr>
                <w:rFonts w:ascii="Times New Roman" w:eastAsia="Times New Roman" w:hAnsi="Times New Roman" w:cs="Times New Roman"/>
                <w:kern w:val="0"/>
                <w:lang w:eastAsia="et-EE"/>
                <w14:ligatures w14:val="none"/>
              </w:rPr>
              <w:t>kestlikkusaruande</w:t>
            </w:r>
            <w:proofErr w:type="spellEnd"/>
            <w:r w:rsidRPr="00E920E2">
              <w:rPr>
                <w:rFonts w:ascii="Times New Roman" w:eastAsia="Times New Roman" w:hAnsi="Times New Roman" w:cs="Times New Roman"/>
                <w:kern w:val="0"/>
                <w:lang w:eastAsia="et-EE"/>
                <w14:ligatures w14:val="none"/>
              </w:rPr>
              <w:t xml:space="preserve"> koostaja ei nõua ettevõtjatelt ebaproportsionaalses mahus </w:t>
            </w:r>
            <w:proofErr w:type="spellStart"/>
            <w:r w:rsidRPr="00E920E2">
              <w:rPr>
                <w:rFonts w:ascii="Times New Roman" w:eastAsia="Times New Roman" w:hAnsi="Times New Roman" w:cs="Times New Roman"/>
                <w:kern w:val="0"/>
                <w:lang w:eastAsia="et-EE"/>
                <w14:ligatures w14:val="none"/>
              </w:rPr>
              <w:t>kestlikkusteavet</w:t>
            </w:r>
            <w:proofErr w:type="spellEnd"/>
            <w:r w:rsidRPr="00E920E2">
              <w:rPr>
                <w:rFonts w:ascii="Times New Roman" w:eastAsia="Times New Roman" w:hAnsi="Times New Roman" w:cs="Times New Roman"/>
                <w:kern w:val="0"/>
                <w:lang w:eastAsia="et-EE"/>
                <w14:ligatures w14:val="none"/>
              </w:rPr>
              <w:t xml:space="preserve">. Seega muudatuse tulemusena väheneb </w:t>
            </w:r>
            <w:proofErr w:type="spellStart"/>
            <w:r w:rsidRPr="00E920E2">
              <w:rPr>
                <w:rFonts w:ascii="Times New Roman" w:eastAsia="Times New Roman" w:hAnsi="Times New Roman" w:cs="Times New Roman"/>
                <w:kern w:val="0"/>
                <w:lang w:eastAsia="et-EE"/>
                <w14:ligatures w14:val="none"/>
              </w:rPr>
              <w:t>kestlikkusaruande</w:t>
            </w:r>
            <w:proofErr w:type="spellEnd"/>
            <w:r w:rsidRPr="00E920E2">
              <w:rPr>
                <w:rFonts w:ascii="Times New Roman" w:eastAsia="Times New Roman" w:hAnsi="Times New Roman" w:cs="Times New Roman"/>
                <w:kern w:val="0"/>
                <w:lang w:eastAsia="et-EE"/>
                <w14:ligatures w14:val="none"/>
              </w:rPr>
              <w:t xml:space="preserve"> koostaja väärtusahelasse kuuluvate ettevõtjate koormus.</w:t>
            </w:r>
          </w:p>
          <w:p w14:paraId="09C789DE" w14:textId="29D8D0DE"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r w:rsidRPr="00E920E2">
              <w:rPr>
                <w:rFonts w:ascii="Times New Roman" w:eastAsia="Times New Roman" w:hAnsi="Times New Roman" w:cs="Times New Roman"/>
                <w:kern w:val="0"/>
                <w:lang w:eastAsia="et-EE"/>
                <w14:ligatures w14:val="none"/>
              </w:rPr>
              <w:lastRenderedPageBreak/>
              <w:t xml:space="preserve">Kaitseklausel annab selguse ja kindlustunde ka </w:t>
            </w:r>
            <w:proofErr w:type="spellStart"/>
            <w:r w:rsidRPr="00E920E2">
              <w:rPr>
                <w:rFonts w:ascii="Times New Roman" w:eastAsia="Times New Roman" w:hAnsi="Times New Roman" w:cs="Times New Roman"/>
                <w:kern w:val="0"/>
                <w:lang w:eastAsia="et-EE"/>
                <w14:ligatures w14:val="none"/>
              </w:rPr>
              <w:t>kestlikkusaruande</w:t>
            </w:r>
            <w:proofErr w:type="spellEnd"/>
            <w:r w:rsidRPr="00E920E2">
              <w:rPr>
                <w:rFonts w:ascii="Times New Roman" w:eastAsia="Times New Roman" w:hAnsi="Times New Roman" w:cs="Times New Roman"/>
                <w:kern w:val="0"/>
                <w:lang w:eastAsia="et-EE"/>
                <w14:ligatures w14:val="none"/>
              </w:rPr>
              <w:t xml:space="preserve"> koostajale, sest eelnõu § 1 punkti 14 (raamatupidamise seaduse § 61</w:t>
            </w:r>
            <w:r w:rsidRPr="00E920E2">
              <w:rPr>
                <w:rFonts w:ascii="Times New Roman" w:eastAsia="Times New Roman" w:hAnsi="Times New Roman" w:cs="Times New Roman"/>
                <w:kern w:val="0"/>
                <w:vertAlign w:val="superscript"/>
                <w:lang w:eastAsia="et-EE"/>
                <w14:ligatures w14:val="none"/>
              </w:rPr>
              <w:t>3</w:t>
            </w:r>
            <w:r w:rsidRPr="00E920E2">
              <w:rPr>
                <w:rFonts w:ascii="Times New Roman" w:eastAsia="Times New Roman" w:hAnsi="Times New Roman" w:cs="Times New Roman"/>
                <w:kern w:val="0"/>
                <w:lang w:eastAsia="et-EE"/>
                <w14:ligatures w14:val="none"/>
              </w:rPr>
              <w:t xml:space="preserve"> lg 9) kohaselt loetakse </w:t>
            </w:r>
            <w:proofErr w:type="spellStart"/>
            <w:r w:rsidRPr="00E920E2">
              <w:rPr>
                <w:rFonts w:ascii="Times New Roman" w:eastAsia="Times New Roman" w:hAnsi="Times New Roman" w:cs="Times New Roman"/>
                <w:kern w:val="0"/>
                <w:lang w:eastAsia="et-EE"/>
                <w14:ligatures w14:val="none"/>
              </w:rPr>
              <w:t>kestlikkusaruandjale</w:t>
            </w:r>
            <w:proofErr w:type="spellEnd"/>
            <w:r w:rsidRPr="00E920E2">
              <w:rPr>
                <w:rFonts w:ascii="Times New Roman" w:eastAsia="Times New Roman" w:hAnsi="Times New Roman" w:cs="Times New Roman"/>
                <w:kern w:val="0"/>
                <w:lang w:eastAsia="et-EE"/>
                <w14:ligatures w14:val="none"/>
              </w:rPr>
              <w:t xml:space="preserve"> väärtusahelat puudutava teabe esitamise kohustus täidetuks ka juhul, kui see teave esitatakse vabatahtliku </w:t>
            </w:r>
            <w:proofErr w:type="spellStart"/>
            <w:r w:rsidRPr="00E920E2">
              <w:rPr>
                <w:rFonts w:ascii="Times New Roman" w:eastAsia="Times New Roman" w:hAnsi="Times New Roman" w:cs="Times New Roman"/>
                <w:kern w:val="0"/>
                <w:lang w:eastAsia="et-EE"/>
                <w14:ligatures w14:val="none"/>
              </w:rPr>
              <w:t>kestlikkusaruande</w:t>
            </w:r>
            <w:proofErr w:type="spellEnd"/>
            <w:r w:rsidRPr="00E920E2">
              <w:rPr>
                <w:rFonts w:ascii="Times New Roman" w:eastAsia="Times New Roman" w:hAnsi="Times New Roman" w:cs="Times New Roman"/>
                <w:kern w:val="0"/>
                <w:lang w:eastAsia="et-EE"/>
                <w14:ligatures w14:val="none"/>
              </w:rPr>
              <w:t xml:space="preserve"> standardis nõutu ulatuses.</w:t>
            </w:r>
          </w:p>
        </w:tc>
        <w:tc>
          <w:tcPr>
            <w:tcW w:w="2289" w:type="dxa"/>
          </w:tcPr>
          <w:p w14:paraId="4700D27B" w14:textId="728AD391" w:rsidR="00E920E2" w:rsidRPr="00E920E2" w:rsidRDefault="47F0717F" w:rsidP="00E920E2">
            <w:pPr>
              <w:jc w:val="center"/>
              <w:textAlignment w:val="baseline"/>
              <w:rPr>
                <w:rFonts w:ascii="Times New Roman" w:eastAsia="Times New Roman" w:hAnsi="Times New Roman" w:cs="Times New Roman"/>
                <w:kern w:val="0"/>
                <w:lang w:eastAsia="et-EE"/>
                <w14:ligatures w14:val="none"/>
              </w:rPr>
            </w:pPr>
            <w:r w:rsidRPr="22DC3241">
              <w:rPr>
                <w:rFonts w:ascii="Times New Roman" w:eastAsia="Times New Roman" w:hAnsi="Times New Roman" w:cs="Times New Roman"/>
                <w:lang w:eastAsia="et-EE"/>
              </w:rPr>
              <w:lastRenderedPageBreak/>
              <w:t>Teadmiseks</w:t>
            </w:r>
            <w:r w:rsidRPr="1A463649">
              <w:rPr>
                <w:rFonts w:ascii="Times New Roman" w:eastAsia="Times New Roman" w:hAnsi="Times New Roman" w:cs="Times New Roman"/>
                <w:lang w:eastAsia="et-EE"/>
              </w:rPr>
              <w:t xml:space="preserve"> võetud</w:t>
            </w:r>
          </w:p>
        </w:tc>
        <w:tc>
          <w:tcPr>
            <w:tcW w:w="2389" w:type="dxa"/>
          </w:tcPr>
          <w:p w14:paraId="05978171" w14:textId="35E2C1B8"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p>
        </w:tc>
      </w:tr>
      <w:tr w:rsidR="00E920E2" w:rsidRPr="00E920E2" w14:paraId="36B733B6" w14:textId="77777777" w:rsidTr="00437792">
        <w:trPr>
          <w:trHeight w:val="285"/>
        </w:trPr>
        <w:tc>
          <w:tcPr>
            <w:tcW w:w="398" w:type="dxa"/>
          </w:tcPr>
          <w:p w14:paraId="27D2F3FD" w14:textId="089C50E2" w:rsidR="00E920E2" w:rsidRPr="00E920E2" w:rsidRDefault="00035617" w:rsidP="00E920E2">
            <w:pPr>
              <w:jc w:val="both"/>
              <w:textAlignment w:val="baseline"/>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9</w:t>
            </w:r>
          </w:p>
        </w:tc>
        <w:tc>
          <w:tcPr>
            <w:tcW w:w="5438" w:type="dxa"/>
          </w:tcPr>
          <w:p w14:paraId="48F98314" w14:textId="77777777" w:rsidR="00E80527" w:rsidRPr="00E80527" w:rsidRDefault="00E80527" w:rsidP="00E80527">
            <w:pPr>
              <w:jc w:val="both"/>
              <w:textAlignment w:val="baseline"/>
              <w:rPr>
                <w:rFonts w:ascii="Times New Roman" w:eastAsia="Times New Roman" w:hAnsi="Times New Roman" w:cs="Times New Roman"/>
                <w:b/>
                <w:bCs/>
                <w:kern w:val="0"/>
                <w:lang w:eastAsia="et-EE"/>
                <w14:ligatures w14:val="none"/>
              </w:rPr>
            </w:pPr>
            <w:r w:rsidRPr="00E80527">
              <w:rPr>
                <w:rFonts w:ascii="Times New Roman" w:eastAsia="Times New Roman" w:hAnsi="Times New Roman" w:cs="Times New Roman"/>
                <w:b/>
                <w:bCs/>
                <w:kern w:val="0"/>
                <w:lang w:eastAsia="et-EE"/>
                <w14:ligatures w14:val="none"/>
              </w:rPr>
              <w:t xml:space="preserve">Erandid </w:t>
            </w:r>
            <w:proofErr w:type="spellStart"/>
            <w:r w:rsidRPr="00E80527">
              <w:rPr>
                <w:rFonts w:ascii="Times New Roman" w:eastAsia="Times New Roman" w:hAnsi="Times New Roman" w:cs="Times New Roman"/>
                <w:b/>
                <w:bCs/>
                <w:kern w:val="0"/>
                <w:lang w:eastAsia="et-EE"/>
                <w14:ligatures w14:val="none"/>
              </w:rPr>
              <w:t>kestlikkusteabe</w:t>
            </w:r>
            <w:proofErr w:type="spellEnd"/>
            <w:r w:rsidRPr="00E80527">
              <w:rPr>
                <w:rFonts w:ascii="Times New Roman" w:eastAsia="Times New Roman" w:hAnsi="Times New Roman" w:cs="Times New Roman"/>
                <w:b/>
                <w:bCs/>
                <w:kern w:val="0"/>
                <w:lang w:eastAsia="et-EE"/>
                <w14:ligatures w14:val="none"/>
              </w:rPr>
              <w:t xml:space="preserve"> avalikustamata jätmiseks</w:t>
            </w:r>
          </w:p>
          <w:p w14:paraId="27266CE2" w14:textId="77777777" w:rsidR="00E80527" w:rsidRPr="00E80527" w:rsidRDefault="00E80527" w:rsidP="00E80527">
            <w:pPr>
              <w:jc w:val="both"/>
              <w:textAlignment w:val="baseline"/>
              <w:rPr>
                <w:rFonts w:ascii="Times New Roman" w:eastAsia="Times New Roman" w:hAnsi="Times New Roman" w:cs="Times New Roman"/>
                <w:kern w:val="0"/>
                <w:lang w:eastAsia="et-EE"/>
                <w14:ligatures w14:val="none"/>
              </w:rPr>
            </w:pPr>
            <w:r w:rsidRPr="00E80527">
              <w:rPr>
                <w:rFonts w:ascii="Times New Roman" w:eastAsia="Times New Roman" w:hAnsi="Times New Roman" w:cs="Times New Roman"/>
                <w:kern w:val="0"/>
                <w:lang w:eastAsia="et-EE"/>
                <w14:ligatures w14:val="none"/>
              </w:rPr>
              <w:t xml:space="preserve">Eelnõu § 1 punkt 8 võimaldab </w:t>
            </w:r>
            <w:proofErr w:type="spellStart"/>
            <w:r w:rsidRPr="00E80527">
              <w:rPr>
                <w:rFonts w:ascii="Times New Roman" w:eastAsia="Times New Roman" w:hAnsi="Times New Roman" w:cs="Times New Roman"/>
                <w:kern w:val="0"/>
                <w:lang w:eastAsia="et-EE"/>
                <w14:ligatures w14:val="none"/>
              </w:rPr>
              <w:t>kestlikkusaruandjal</w:t>
            </w:r>
            <w:proofErr w:type="spellEnd"/>
            <w:r w:rsidRPr="00E80527">
              <w:rPr>
                <w:rFonts w:ascii="Times New Roman" w:eastAsia="Times New Roman" w:hAnsi="Times New Roman" w:cs="Times New Roman"/>
                <w:kern w:val="0"/>
                <w:lang w:eastAsia="et-EE"/>
                <w14:ligatures w14:val="none"/>
              </w:rPr>
              <w:t xml:space="preserve"> jätta teatud teabe </w:t>
            </w:r>
            <w:proofErr w:type="spellStart"/>
            <w:r w:rsidRPr="00E80527">
              <w:rPr>
                <w:rFonts w:ascii="Times New Roman" w:eastAsia="Times New Roman" w:hAnsi="Times New Roman" w:cs="Times New Roman"/>
                <w:kern w:val="0"/>
                <w:lang w:eastAsia="et-EE"/>
                <w14:ligatures w14:val="none"/>
              </w:rPr>
              <w:t>kestlikkusaruandes</w:t>
            </w:r>
            <w:proofErr w:type="spellEnd"/>
            <w:r w:rsidRPr="00E80527">
              <w:rPr>
                <w:rFonts w:ascii="Times New Roman" w:eastAsia="Times New Roman" w:hAnsi="Times New Roman" w:cs="Times New Roman"/>
                <w:kern w:val="0"/>
                <w:lang w:eastAsia="et-EE"/>
                <w14:ligatures w14:val="none"/>
              </w:rPr>
              <w:t xml:space="preserve"> avaldamata. Selleks peab </w:t>
            </w:r>
            <w:proofErr w:type="spellStart"/>
            <w:r w:rsidRPr="00E80527">
              <w:rPr>
                <w:rFonts w:ascii="Times New Roman" w:eastAsia="Times New Roman" w:hAnsi="Times New Roman" w:cs="Times New Roman"/>
                <w:kern w:val="0"/>
                <w:lang w:eastAsia="et-EE"/>
                <w14:ligatures w14:val="none"/>
              </w:rPr>
              <w:t>kestlikkusaruandja</w:t>
            </w:r>
            <w:proofErr w:type="spellEnd"/>
            <w:r w:rsidRPr="00E80527">
              <w:rPr>
                <w:rFonts w:ascii="Times New Roman" w:eastAsia="Times New Roman" w:hAnsi="Times New Roman" w:cs="Times New Roman"/>
                <w:kern w:val="0"/>
                <w:lang w:eastAsia="et-EE"/>
                <w14:ligatures w14:val="none"/>
              </w:rPr>
              <w:t xml:space="preserve"> avaldama, et ta kasutab erandit, ja hindama teabe esitamata jätmise põhjendatust igal aruandekuupäeval. Eelnõu kohaselt võib </w:t>
            </w:r>
            <w:proofErr w:type="spellStart"/>
            <w:r w:rsidRPr="00E80527">
              <w:rPr>
                <w:rFonts w:ascii="Times New Roman" w:eastAsia="Times New Roman" w:hAnsi="Times New Roman" w:cs="Times New Roman"/>
                <w:kern w:val="0"/>
                <w:lang w:eastAsia="et-EE"/>
                <w14:ligatures w14:val="none"/>
              </w:rPr>
              <w:t>kestlikkusaruandja</w:t>
            </w:r>
            <w:proofErr w:type="spellEnd"/>
            <w:r w:rsidRPr="00E80527">
              <w:rPr>
                <w:rFonts w:ascii="Times New Roman" w:eastAsia="Times New Roman" w:hAnsi="Times New Roman" w:cs="Times New Roman"/>
                <w:kern w:val="0"/>
                <w:lang w:eastAsia="et-EE"/>
                <w14:ligatures w14:val="none"/>
              </w:rPr>
              <w:t xml:space="preserve"> jätta avalikustamata teabe, mis kahjustaks oluliselt konsolideerimisgrupi äriseisundit; ärisaladuseks oleva teabe intellektuaalse kapitali, intellektuaalomandi, oskusteabe, tehnoloogilise teabe või innovatsiooni tulemuste kohta; salastatud teabe, mis ei ole seotud ärilise kahju ega ärisaladusega, kuid mida tuleb kaitsta loata juurdepääsu või avalikustamise eest; teavet, mis kahjustaks füüsiliste isikute privaatsust või füüsiliste või juriidiliste isikute turvalisust.</w:t>
            </w:r>
          </w:p>
          <w:p w14:paraId="082BF30C" w14:textId="77777777" w:rsidR="00E80527" w:rsidRPr="00E80527" w:rsidRDefault="00E80527" w:rsidP="00E80527">
            <w:pPr>
              <w:jc w:val="both"/>
              <w:textAlignment w:val="baseline"/>
              <w:rPr>
                <w:rFonts w:ascii="Times New Roman" w:eastAsia="Times New Roman" w:hAnsi="Times New Roman" w:cs="Times New Roman"/>
                <w:kern w:val="0"/>
                <w:lang w:eastAsia="et-EE"/>
                <w14:ligatures w14:val="none"/>
              </w:rPr>
            </w:pPr>
            <w:r w:rsidRPr="00E80527">
              <w:rPr>
                <w:rFonts w:ascii="Times New Roman" w:eastAsia="Times New Roman" w:hAnsi="Times New Roman" w:cs="Times New Roman"/>
                <w:kern w:val="0"/>
                <w:lang w:eastAsia="et-EE"/>
                <w14:ligatures w14:val="none"/>
              </w:rPr>
              <w:t xml:space="preserve">Kaubanduskoda toetab erandi kehtestamist, mille kohaselt on </w:t>
            </w:r>
            <w:proofErr w:type="spellStart"/>
            <w:r w:rsidRPr="00E80527">
              <w:rPr>
                <w:rFonts w:ascii="Times New Roman" w:eastAsia="Times New Roman" w:hAnsi="Times New Roman" w:cs="Times New Roman"/>
                <w:kern w:val="0"/>
                <w:lang w:eastAsia="et-EE"/>
                <w14:ligatures w14:val="none"/>
              </w:rPr>
              <w:t>kestlikkusaruandjal</w:t>
            </w:r>
            <w:proofErr w:type="spellEnd"/>
            <w:r w:rsidRPr="00E80527">
              <w:rPr>
                <w:rFonts w:ascii="Times New Roman" w:eastAsia="Times New Roman" w:hAnsi="Times New Roman" w:cs="Times New Roman"/>
                <w:kern w:val="0"/>
                <w:lang w:eastAsia="et-EE"/>
                <w14:ligatures w14:val="none"/>
              </w:rPr>
              <w:t xml:space="preserve"> teatud juhtudel lubatud jätta osa teavet </w:t>
            </w:r>
            <w:proofErr w:type="spellStart"/>
            <w:r w:rsidRPr="00E80527">
              <w:rPr>
                <w:rFonts w:ascii="Times New Roman" w:eastAsia="Times New Roman" w:hAnsi="Times New Roman" w:cs="Times New Roman"/>
                <w:kern w:val="0"/>
                <w:lang w:eastAsia="et-EE"/>
                <w14:ligatures w14:val="none"/>
              </w:rPr>
              <w:t>kestlikkusaruandes</w:t>
            </w:r>
            <w:proofErr w:type="spellEnd"/>
            <w:r w:rsidRPr="00E80527">
              <w:rPr>
                <w:rFonts w:ascii="Times New Roman" w:eastAsia="Times New Roman" w:hAnsi="Times New Roman" w:cs="Times New Roman"/>
                <w:kern w:val="0"/>
                <w:lang w:eastAsia="et-EE"/>
                <w14:ligatures w14:val="none"/>
              </w:rPr>
              <w:t xml:space="preserve"> avaldamata. See on vajalik nii ärisaladuse kaitseks kui ka näiteks julgeoleku tagamiseks.</w:t>
            </w:r>
          </w:p>
          <w:p w14:paraId="62E6F3F8" w14:textId="77777777"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p>
        </w:tc>
        <w:tc>
          <w:tcPr>
            <w:tcW w:w="2289" w:type="dxa"/>
          </w:tcPr>
          <w:p w14:paraId="512A60BC" w14:textId="2178B6D9" w:rsidR="00E920E2" w:rsidRPr="00E920E2" w:rsidRDefault="05A0437B" w:rsidP="00E920E2">
            <w:pPr>
              <w:jc w:val="center"/>
              <w:textAlignment w:val="baseline"/>
              <w:rPr>
                <w:rFonts w:ascii="Times New Roman" w:eastAsia="Times New Roman" w:hAnsi="Times New Roman" w:cs="Times New Roman"/>
                <w:kern w:val="0"/>
                <w:lang w:eastAsia="et-EE"/>
                <w14:ligatures w14:val="none"/>
              </w:rPr>
            </w:pPr>
            <w:r w:rsidRPr="4A6B6A38">
              <w:rPr>
                <w:rFonts w:ascii="Times New Roman" w:eastAsia="Times New Roman" w:hAnsi="Times New Roman" w:cs="Times New Roman"/>
                <w:lang w:eastAsia="et-EE"/>
              </w:rPr>
              <w:t xml:space="preserve">Teadmiseks </w:t>
            </w:r>
            <w:r w:rsidRPr="6ECA362B">
              <w:rPr>
                <w:rFonts w:ascii="Times New Roman" w:eastAsia="Times New Roman" w:hAnsi="Times New Roman" w:cs="Times New Roman"/>
                <w:lang w:eastAsia="et-EE"/>
              </w:rPr>
              <w:t>võetud</w:t>
            </w:r>
          </w:p>
        </w:tc>
        <w:tc>
          <w:tcPr>
            <w:tcW w:w="2389" w:type="dxa"/>
          </w:tcPr>
          <w:p w14:paraId="61CDFEDC" w14:textId="77777777" w:rsidR="00E920E2" w:rsidRPr="00E920E2" w:rsidRDefault="00E920E2" w:rsidP="00E920E2">
            <w:pPr>
              <w:jc w:val="both"/>
              <w:textAlignment w:val="baseline"/>
              <w:rPr>
                <w:rFonts w:ascii="Times New Roman" w:eastAsia="Times New Roman" w:hAnsi="Times New Roman" w:cs="Times New Roman"/>
                <w:kern w:val="0"/>
                <w:lang w:eastAsia="et-EE"/>
                <w14:ligatures w14:val="none"/>
              </w:rPr>
            </w:pPr>
          </w:p>
        </w:tc>
      </w:tr>
      <w:tr w:rsidR="00E920E2" w:rsidRPr="00E920E2" w14:paraId="1D82A439" w14:textId="77777777" w:rsidTr="00437792">
        <w:trPr>
          <w:trHeight w:val="285"/>
        </w:trPr>
        <w:tc>
          <w:tcPr>
            <w:tcW w:w="398" w:type="dxa"/>
          </w:tcPr>
          <w:p w14:paraId="20D9A4A3" w14:textId="3C5353FA" w:rsidR="00E920E2" w:rsidRPr="00E920E2" w:rsidRDefault="00E80527" w:rsidP="00E920E2">
            <w:pPr>
              <w:jc w:val="both"/>
              <w:textAlignment w:val="baseline"/>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1</w:t>
            </w:r>
            <w:r w:rsidR="00035617">
              <w:rPr>
                <w:rFonts w:ascii="Times New Roman" w:eastAsia="Times New Roman" w:hAnsi="Times New Roman" w:cs="Times New Roman"/>
                <w:b/>
                <w:bCs/>
                <w:kern w:val="0"/>
                <w:lang w:eastAsia="et-EE"/>
                <w14:ligatures w14:val="none"/>
              </w:rPr>
              <w:t>0</w:t>
            </w:r>
          </w:p>
        </w:tc>
        <w:tc>
          <w:tcPr>
            <w:tcW w:w="5438" w:type="dxa"/>
          </w:tcPr>
          <w:p w14:paraId="4DE4836D" w14:textId="77777777" w:rsidR="00E80527" w:rsidRPr="00E80527" w:rsidRDefault="00E80527" w:rsidP="00E80527">
            <w:pPr>
              <w:jc w:val="both"/>
              <w:textAlignment w:val="baseline"/>
              <w:rPr>
                <w:rFonts w:ascii="Times New Roman" w:eastAsia="Times New Roman" w:hAnsi="Times New Roman" w:cs="Times New Roman"/>
                <w:b/>
                <w:bCs/>
                <w:kern w:val="0"/>
                <w:lang w:eastAsia="et-EE"/>
                <w14:ligatures w14:val="none"/>
              </w:rPr>
            </w:pPr>
            <w:proofErr w:type="spellStart"/>
            <w:r w:rsidRPr="00E80527">
              <w:rPr>
                <w:rFonts w:ascii="Times New Roman" w:eastAsia="Times New Roman" w:hAnsi="Times New Roman" w:cs="Times New Roman"/>
                <w:b/>
                <w:bCs/>
                <w:kern w:val="0"/>
                <w:lang w:eastAsia="et-EE"/>
                <w14:ligatures w14:val="none"/>
              </w:rPr>
              <w:t>Kestlikkusaruande</w:t>
            </w:r>
            <w:proofErr w:type="spellEnd"/>
            <w:r w:rsidRPr="00E80527">
              <w:rPr>
                <w:rFonts w:ascii="Times New Roman" w:eastAsia="Times New Roman" w:hAnsi="Times New Roman" w:cs="Times New Roman"/>
                <w:b/>
                <w:bCs/>
                <w:kern w:val="0"/>
                <w:lang w:eastAsia="et-EE"/>
                <w14:ligatures w14:val="none"/>
              </w:rPr>
              <w:t xml:space="preserve"> koostamise kohustuse kohaldumine</w:t>
            </w:r>
          </w:p>
          <w:p w14:paraId="5292BEA5" w14:textId="77777777" w:rsidR="00E80527" w:rsidRPr="00E80527" w:rsidRDefault="00E80527" w:rsidP="00E80527">
            <w:pPr>
              <w:jc w:val="both"/>
              <w:textAlignment w:val="baseline"/>
              <w:rPr>
                <w:rFonts w:ascii="Times New Roman" w:eastAsia="Times New Roman" w:hAnsi="Times New Roman" w:cs="Times New Roman"/>
                <w:kern w:val="0"/>
                <w:lang w:eastAsia="et-EE"/>
                <w14:ligatures w14:val="none"/>
              </w:rPr>
            </w:pPr>
            <w:r w:rsidRPr="00E80527">
              <w:rPr>
                <w:rFonts w:ascii="Times New Roman" w:eastAsia="Times New Roman" w:hAnsi="Times New Roman" w:cs="Times New Roman"/>
                <w:kern w:val="0"/>
                <w:lang w:eastAsia="et-EE"/>
                <w14:ligatures w14:val="none"/>
              </w:rPr>
              <w:t xml:space="preserve">Eelnõu § 1 punkti 15 kohaselt on suurettevõtja ja VKE, kes on audiitortegevuse seaduse § 13 lõike 1 punktis 1 nimetatud avaliku huvi üksus, kohustatud esitama </w:t>
            </w:r>
            <w:proofErr w:type="spellStart"/>
            <w:r w:rsidRPr="00E80527">
              <w:rPr>
                <w:rFonts w:ascii="Times New Roman" w:eastAsia="Times New Roman" w:hAnsi="Times New Roman" w:cs="Times New Roman"/>
                <w:kern w:val="0"/>
                <w:lang w:eastAsia="et-EE"/>
                <w14:ligatures w14:val="none"/>
              </w:rPr>
              <w:t>kestlikkusaruande</w:t>
            </w:r>
            <w:proofErr w:type="spellEnd"/>
            <w:r w:rsidRPr="00E80527">
              <w:rPr>
                <w:rFonts w:ascii="Times New Roman" w:eastAsia="Times New Roman" w:hAnsi="Times New Roman" w:cs="Times New Roman"/>
                <w:kern w:val="0"/>
                <w:lang w:eastAsia="et-EE"/>
                <w14:ligatures w14:val="none"/>
              </w:rPr>
              <w:t xml:space="preserve"> ning laskma teha audiitorkontrolli ka aruandeperioodi kohta, mis lõpeb hiljemalt 2026. aasta 31. detsembril.</w:t>
            </w:r>
          </w:p>
          <w:p w14:paraId="62A895CF" w14:textId="77777777" w:rsidR="00E80527" w:rsidRPr="00E80527" w:rsidRDefault="00E80527" w:rsidP="00E80527">
            <w:pPr>
              <w:jc w:val="both"/>
              <w:textAlignment w:val="baseline"/>
              <w:rPr>
                <w:rFonts w:ascii="Times New Roman" w:eastAsia="Times New Roman" w:hAnsi="Times New Roman" w:cs="Times New Roman"/>
                <w:kern w:val="0"/>
                <w:lang w:eastAsia="et-EE"/>
                <w14:ligatures w14:val="none"/>
              </w:rPr>
            </w:pPr>
            <w:r w:rsidRPr="00E80527">
              <w:rPr>
                <w:rFonts w:ascii="Times New Roman" w:eastAsia="Times New Roman" w:hAnsi="Times New Roman" w:cs="Times New Roman"/>
                <w:kern w:val="0"/>
                <w:lang w:eastAsia="et-EE"/>
                <w14:ligatures w14:val="none"/>
              </w:rPr>
              <w:t xml:space="preserve">Kaubanduskoda teeb ettepaneku muuta viidatud sätte sõnastust selliselt, et ettevõtjad, kel on praegu </w:t>
            </w:r>
            <w:proofErr w:type="spellStart"/>
            <w:r w:rsidRPr="00E80527">
              <w:rPr>
                <w:rFonts w:ascii="Times New Roman" w:eastAsia="Times New Roman" w:hAnsi="Times New Roman" w:cs="Times New Roman"/>
                <w:kern w:val="0"/>
                <w:lang w:eastAsia="et-EE"/>
                <w14:ligatures w14:val="none"/>
              </w:rPr>
              <w:t>kestlikkusaruande</w:t>
            </w:r>
            <w:proofErr w:type="spellEnd"/>
            <w:r w:rsidRPr="00E80527">
              <w:rPr>
                <w:rFonts w:ascii="Times New Roman" w:eastAsia="Times New Roman" w:hAnsi="Times New Roman" w:cs="Times New Roman"/>
                <w:kern w:val="0"/>
                <w:lang w:eastAsia="et-EE"/>
                <w14:ligatures w14:val="none"/>
              </w:rPr>
              <w:t xml:space="preserve"> ja audiitorkontrolli kohustus, ei pea esitama </w:t>
            </w:r>
            <w:proofErr w:type="spellStart"/>
            <w:r w:rsidRPr="00E80527">
              <w:rPr>
                <w:rFonts w:ascii="Times New Roman" w:eastAsia="Times New Roman" w:hAnsi="Times New Roman" w:cs="Times New Roman"/>
                <w:kern w:val="0"/>
                <w:lang w:eastAsia="et-EE"/>
                <w14:ligatures w14:val="none"/>
              </w:rPr>
              <w:t>kestlikkusaruannet</w:t>
            </w:r>
            <w:proofErr w:type="spellEnd"/>
            <w:r w:rsidRPr="00E80527">
              <w:rPr>
                <w:rFonts w:ascii="Times New Roman" w:eastAsia="Times New Roman" w:hAnsi="Times New Roman" w:cs="Times New Roman"/>
                <w:kern w:val="0"/>
                <w:lang w:eastAsia="et-EE"/>
                <w14:ligatures w14:val="none"/>
              </w:rPr>
              <w:t xml:space="preserve"> 2026. aasta kohta, kui ettevõtja müügitulu aruandeaastale eelneval aastal on kuni 450 000 000 eurot või keskmine töötajate arv majandusaasta jooksul kuni 1000 töötajat. </w:t>
            </w:r>
          </w:p>
          <w:p w14:paraId="7888062E" w14:textId="77777777" w:rsidR="00E80527" w:rsidRPr="00E80527" w:rsidRDefault="00E80527" w:rsidP="00E80527">
            <w:pPr>
              <w:jc w:val="both"/>
              <w:textAlignment w:val="baseline"/>
              <w:rPr>
                <w:rFonts w:ascii="Times New Roman" w:eastAsia="Times New Roman" w:hAnsi="Times New Roman" w:cs="Times New Roman"/>
                <w:kern w:val="0"/>
                <w:lang w:eastAsia="et-EE"/>
                <w14:ligatures w14:val="none"/>
              </w:rPr>
            </w:pPr>
            <w:r w:rsidRPr="00E80527">
              <w:rPr>
                <w:rFonts w:ascii="Times New Roman" w:eastAsia="Times New Roman" w:hAnsi="Times New Roman" w:cs="Times New Roman"/>
                <w:kern w:val="0"/>
                <w:lang w:eastAsia="et-EE"/>
                <w14:ligatures w14:val="none"/>
              </w:rPr>
              <w:t xml:space="preserve">Ettepaneku elluviimisel vabaneksid 2026. aasta kohta koostatava </w:t>
            </w:r>
            <w:proofErr w:type="spellStart"/>
            <w:r w:rsidRPr="00E80527">
              <w:rPr>
                <w:rFonts w:ascii="Times New Roman" w:eastAsia="Times New Roman" w:hAnsi="Times New Roman" w:cs="Times New Roman"/>
                <w:kern w:val="0"/>
                <w:lang w:eastAsia="et-EE"/>
                <w14:ligatures w14:val="none"/>
              </w:rPr>
              <w:t>kestlikkusaruande</w:t>
            </w:r>
            <w:proofErr w:type="spellEnd"/>
            <w:r w:rsidRPr="00E80527">
              <w:rPr>
                <w:rFonts w:ascii="Times New Roman" w:eastAsia="Times New Roman" w:hAnsi="Times New Roman" w:cs="Times New Roman"/>
                <w:kern w:val="0"/>
                <w:lang w:eastAsia="et-EE"/>
                <w14:ligatures w14:val="none"/>
              </w:rPr>
              <w:t xml:space="preserve"> koostamise kohustusest ettevõtjad, kel ei ole seda kohustust enam 2027. aasta kohta. Selline lahendus on ka kooskõlas Euroopa Parlamendi ja Nõukogu direktiivi (EL) 2026/470 artikli 3 lõikega 1c.</w:t>
            </w:r>
          </w:p>
          <w:p w14:paraId="588DC3E6" w14:textId="1E4F25BA" w:rsidR="00E920E2" w:rsidRPr="00E920E2" w:rsidRDefault="00E80527" w:rsidP="00E920E2">
            <w:pPr>
              <w:jc w:val="both"/>
              <w:textAlignment w:val="baseline"/>
              <w:rPr>
                <w:rFonts w:ascii="Times New Roman" w:eastAsia="Times New Roman" w:hAnsi="Times New Roman" w:cs="Times New Roman"/>
                <w:kern w:val="0"/>
                <w:lang w:eastAsia="et-EE"/>
                <w14:ligatures w14:val="none"/>
              </w:rPr>
            </w:pPr>
            <w:r w:rsidRPr="00E80527">
              <w:rPr>
                <w:rFonts w:ascii="Times New Roman" w:eastAsia="Times New Roman" w:hAnsi="Times New Roman" w:cs="Times New Roman"/>
                <w:kern w:val="0"/>
                <w:lang w:eastAsia="et-EE"/>
                <w14:ligatures w14:val="none"/>
              </w:rPr>
              <w:lastRenderedPageBreak/>
              <w:t xml:space="preserve">Mööname, et </w:t>
            </w:r>
            <w:proofErr w:type="spellStart"/>
            <w:r w:rsidRPr="00E80527">
              <w:rPr>
                <w:rFonts w:ascii="Times New Roman" w:eastAsia="Times New Roman" w:hAnsi="Times New Roman" w:cs="Times New Roman"/>
                <w:kern w:val="0"/>
                <w:lang w:eastAsia="et-EE"/>
                <w14:ligatures w14:val="none"/>
              </w:rPr>
              <w:t>kestlikkusaruande</w:t>
            </w:r>
            <w:proofErr w:type="spellEnd"/>
            <w:r w:rsidRPr="00E80527">
              <w:rPr>
                <w:rFonts w:ascii="Times New Roman" w:eastAsia="Times New Roman" w:hAnsi="Times New Roman" w:cs="Times New Roman"/>
                <w:kern w:val="0"/>
                <w:lang w:eastAsia="et-EE"/>
                <w14:ligatures w14:val="none"/>
              </w:rPr>
              <w:t xml:space="preserve"> kohustusega ettevõtjad on juba teinud ettevalmistusi 2026. aasta kohta koostatava </w:t>
            </w:r>
            <w:proofErr w:type="spellStart"/>
            <w:r w:rsidRPr="00E80527">
              <w:rPr>
                <w:rFonts w:ascii="Times New Roman" w:eastAsia="Times New Roman" w:hAnsi="Times New Roman" w:cs="Times New Roman"/>
                <w:kern w:val="0"/>
                <w:lang w:eastAsia="et-EE"/>
                <w14:ligatures w14:val="none"/>
              </w:rPr>
              <w:t>kestlikkusaruande</w:t>
            </w:r>
            <w:proofErr w:type="spellEnd"/>
            <w:r w:rsidRPr="00E80527">
              <w:rPr>
                <w:rFonts w:ascii="Times New Roman" w:eastAsia="Times New Roman" w:hAnsi="Times New Roman" w:cs="Times New Roman"/>
                <w:kern w:val="0"/>
                <w:lang w:eastAsia="et-EE"/>
                <w14:ligatures w14:val="none"/>
              </w:rPr>
              <w:t xml:space="preserve"> koostamiseks, kuid Kaubanduskoja ettepaneku elluviimisel on ettevõtjatel võimalik valida, kas jätta </w:t>
            </w:r>
            <w:proofErr w:type="spellStart"/>
            <w:r w:rsidRPr="00E80527">
              <w:rPr>
                <w:rFonts w:ascii="Times New Roman" w:eastAsia="Times New Roman" w:hAnsi="Times New Roman" w:cs="Times New Roman"/>
                <w:kern w:val="0"/>
                <w:lang w:eastAsia="et-EE"/>
                <w14:ligatures w14:val="none"/>
              </w:rPr>
              <w:t>kestlikkusaruande</w:t>
            </w:r>
            <w:proofErr w:type="spellEnd"/>
            <w:r w:rsidRPr="00E80527">
              <w:rPr>
                <w:rFonts w:ascii="Times New Roman" w:eastAsia="Times New Roman" w:hAnsi="Times New Roman" w:cs="Times New Roman"/>
                <w:kern w:val="0"/>
                <w:lang w:eastAsia="et-EE"/>
                <w14:ligatures w14:val="none"/>
              </w:rPr>
              <w:t xml:space="preserve"> koostamine pooleli ja loobuda audiitorkontrollist või viia alustatud tegevus lõpuni. Seega saaks iga ettevõtja valida endale sobiva lahenduse. Riik ei peaks seda valikut ettevõtjalt ära võtma.</w:t>
            </w:r>
          </w:p>
        </w:tc>
        <w:tc>
          <w:tcPr>
            <w:tcW w:w="2289" w:type="dxa"/>
          </w:tcPr>
          <w:p w14:paraId="51A141B8" w14:textId="64A91172" w:rsidR="00E920E2" w:rsidRPr="00E920E2" w:rsidRDefault="00F00F9A" w:rsidP="00E920E2">
            <w:pPr>
              <w:jc w:val="center"/>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lastRenderedPageBreak/>
              <w:t>Arvestatud</w:t>
            </w:r>
          </w:p>
        </w:tc>
        <w:tc>
          <w:tcPr>
            <w:tcW w:w="2389" w:type="dxa"/>
          </w:tcPr>
          <w:p w14:paraId="326310A7" w14:textId="4E00CA76" w:rsidR="00E920E2" w:rsidRPr="00E920E2" w:rsidRDefault="00F00F9A" w:rsidP="00E920E2">
            <w:pPr>
              <w:jc w:val="both"/>
              <w:textAlignment w:val="baseline"/>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Eelnõu ja seletuskir</w:t>
            </w:r>
            <w:r w:rsidR="79BFBF6A">
              <w:rPr>
                <w:rFonts w:ascii="Times New Roman" w:eastAsia="Times New Roman" w:hAnsi="Times New Roman" w:cs="Times New Roman"/>
                <w:color w:val="000000" w:themeColor="text1"/>
                <w:kern w:val="0"/>
                <w14:ligatures w14:val="none"/>
              </w:rPr>
              <w:t>ja on ettepaneku kohaselt</w:t>
            </w:r>
            <w:r>
              <w:rPr>
                <w:rFonts w:ascii="Times New Roman" w:eastAsia="Times New Roman" w:hAnsi="Times New Roman" w:cs="Times New Roman"/>
                <w:color w:val="000000" w:themeColor="text1"/>
                <w:kern w:val="0"/>
                <w14:ligatures w14:val="none"/>
              </w:rPr>
              <w:t xml:space="preserve"> muudetud.</w:t>
            </w:r>
          </w:p>
        </w:tc>
      </w:tr>
      <w:tr w:rsidR="00E920E2" w:rsidRPr="00E920E2" w14:paraId="26A38D8E" w14:textId="77777777" w:rsidTr="00437792">
        <w:trPr>
          <w:trHeight w:val="285"/>
        </w:trPr>
        <w:tc>
          <w:tcPr>
            <w:tcW w:w="398" w:type="dxa"/>
          </w:tcPr>
          <w:p w14:paraId="41D1F8C6" w14:textId="4059FE96" w:rsidR="00E920E2" w:rsidRPr="00E920E2" w:rsidRDefault="00E80527" w:rsidP="00E920E2">
            <w:pPr>
              <w:jc w:val="both"/>
              <w:textAlignment w:val="baseline"/>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1</w:t>
            </w:r>
            <w:r w:rsidR="00035617">
              <w:rPr>
                <w:rFonts w:ascii="Times New Roman" w:eastAsia="Times New Roman" w:hAnsi="Times New Roman" w:cs="Times New Roman"/>
                <w:b/>
                <w:bCs/>
                <w:kern w:val="0"/>
                <w:lang w:eastAsia="et-EE"/>
                <w14:ligatures w14:val="none"/>
              </w:rPr>
              <w:t>1</w:t>
            </w:r>
          </w:p>
        </w:tc>
        <w:tc>
          <w:tcPr>
            <w:tcW w:w="5438" w:type="dxa"/>
          </w:tcPr>
          <w:p w14:paraId="11972BE0" w14:textId="77777777" w:rsidR="00E80527" w:rsidRPr="00E80527" w:rsidRDefault="00E80527" w:rsidP="00E80527">
            <w:pPr>
              <w:jc w:val="both"/>
              <w:textAlignment w:val="baseline"/>
              <w:rPr>
                <w:rFonts w:ascii="Times New Roman" w:eastAsia="Times New Roman" w:hAnsi="Times New Roman" w:cs="Times New Roman"/>
                <w:kern w:val="0"/>
                <w:lang w:eastAsia="et-EE"/>
                <w14:ligatures w14:val="none"/>
              </w:rPr>
            </w:pPr>
            <w:r w:rsidRPr="00E80527">
              <w:rPr>
                <w:rFonts w:ascii="Times New Roman" w:eastAsia="Times New Roman" w:hAnsi="Times New Roman" w:cs="Times New Roman"/>
                <w:kern w:val="0"/>
                <w:lang w:eastAsia="et-EE"/>
                <w14:ligatures w14:val="none"/>
              </w:rPr>
              <w:t>Muuta ja sõnastada eelnõu § 1 punktid 15 ja 16 järgmiselt:</w:t>
            </w:r>
          </w:p>
          <w:p w14:paraId="6F7AFD40" w14:textId="77777777" w:rsidR="00E80527" w:rsidRPr="00E80527" w:rsidRDefault="00E80527" w:rsidP="00E80527">
            <w:pPr>
              <w:jc w:val="both"/>
              <w:textAlignment w:val="baseline"/>
              <w:rPr>
                <w:rFonts w:ascii="Times New Roman" w:eastAsia="Times New Roman" w:hAnsi="Times New Roman" w:cs="Times New Roman"/>
                <w:kern w:val="0"/>
                <w:lang w:eastAsia="et-EE"/>
                <w14:ligatures w14:val="none"/>
              </w:rPr>
            </w:pPr>
            <w:r w:rsidRPr="00E80527">
              <w:rPr>
                <w:rFonts w:ascii="Times New Roman" w:eastAsia="Times New Roman" w:hAnsi="Times New Roman" w:cs="Times New Roman"/>
                <w:kern w:val="0"/>
                <w:lang w:eastAsia="et-EE"/>
                <w14:ligatures w14:val="none"/>
              </w:rPr>
              <w:t>„15) paragrahvi 62 lõikes 18 asendatakse tekstiosa „aruandeperioodidele, mis algavad 2024. aasta 1. jaanuaril või hiljem“ tekstiosaga „aruandeperioodidele, mis algavad 2024. aasta 1. jaanuaril ja lõpevad hiljemalt 202</w:t>
            </w:r>
            <w:r w:rsidRPr="00E80527">
              <w:rPr>
                <w:rFonts w:ascii="Times New Roman" w:eastAsia="Times New Roman" w:hAnsi="Times New Roman" w:cs="Times New Roman"/>
                <w:kern w:val="0"/>
                <w:u w:val="single"/>
                <w:lang w:eastAsia="et-EE"/>
                <w14:ligatures w14:val="none"/>
              </w:rPr>
              <w:t>5</w:t>
            </w:r>
            <w:r w:rsidRPr="00E80527">
              <w:rPr>
                <w:rFonts w:ascii="Times New Roman" w:eastAsia="Times New Roman" w:hAnsi="Times New Roman" w:cs="Times New Roman"/>
                <w:kern w:val="0"/>
                <w:lang w:eastAsia="et-EE"/>
                <w14:ligatures w14:val="none"/>
              </w:rPr>
              <w:t>. aasta 31. detsembril“;</w:t>
            </w:r>
          </w:p>
          <w:p w14:paraId="5C526806" w14:textId="77777777" w:rsidR="00E80527" w:rsidRPr="00E80527" w:rsidRDefault="00E80527" w:rsidP="00E80527">
            <w:pPr>
              <w:jc w:val="both"/>
              <w:textAlignment w:val="baseline"/>
              <w:rPr>
                <w:rFonts w:ascii="Times New Roman" w:eastAsia="Times New Roman" w:hAnsi="Times New Roman" w:cs="Times New Roman"/>
                <w:kern w:val="0"/>
                <w:lang w:eastAsia="et-EE"/>
                <w14:ligatures w14:val="none"/>
              </w:rPr>
            </w:pPr>
            <w:r w:rsidRPr="00E80527">
              <w:rPr>
                <w:rFonts w:ascii="Times New Roman" w:eastAsia="Times New Roman" w:hAnsi="Times New Roman" w:cs="Times New Roman"/>
                <w:kern w:val="0"/>
                <w:lang w:eastAsia="et-EE"/>
                <w14:ligatures w14:val="none"/>
              </w:rPr>
              <w:t>16) paragrahvi 62 lõige 19 muudetakse ja sõnastatakse järgmiselt:</w:t>
            </w:r>
          </w:p>
          <w:p w14:paraId="606D9E0C" w14:textId="77777777" w:rsidR="00E80527" w:rsidRPr="00E80527" w:rsidRDefault="00E80527" w:rsidP="00E80527">
            <w:pPr>
              <w:jc w:val="both"/>
              <w:textAlignment w:val="baseline"/>
              <w:rPr>
                <w:rFonts w:ascii="Times New Roman" w:eastAsia="Times New Roman" w:hAnsi="Times New Roman" w:cs="Times New Roman"/>
                <w:kern w:val="0"/>
                <w:lang w:eastAsia="et-EE"/>
                <w14:ligatures w14:val="none"/>
              </w:rPr>
            </w:pPr>
            <w:r w:rsidRPr="00E80527">
              <w:rPr>
                <w:rFonts w:ascii="Times New Roman" w:eastAsia="Times New Roman" w:hAnsi="Times New Roman" w:cs="Times New Roman"/>
                <w:kern w:val="0"/>
                <w:lang w:eastAsia="et-EE"/>
                <w14:ligatures w14:val="none"/>
              </w:rPr>
              <w:t>„(19) Käesoleva seaduse § 24 lõiget 2 kohaldatakse käesoleva seaduse § 24 lõikes 2 ja § 31 lõikes 4 nimetatud raamatupidamiskohustuslase aruandeperioodidele, mis algavad 202</w:t>
            </w:r>
            <w:r w:rsidRPr="00E80527">
              <w:rPr>
                <w:rFonts w:ascii="Times New Roman" w:eastAsia="Times New Roman" w:hAnsi="Times New Roman" w:cs="Times New Roman"/>
                <w:kern w:val="0"/>
                <w:u w:val="single"/>
                <w:lang w:eastAsia="et-EE"/>
                <w14:ligatures w14:val="none"/>
              </w:rPr>
              <w:t>6</w:t>
            </w:r>
            <w:r w:rsidRPr="00E80527">
              <w:rPr>
                <w:rFonts w:ascii="Times New Roman" w:eastAsia="Times New Roman" w:hAnsi="Times New Roman" w:cs="Times New Roman"/>
                <w:kern w:val="0"/>
                <w:lang w:eastAsia="et-EE"/>
                <w14:ligatures w14:val="none"/>
              </w:rPr>
              <w:t>. aasta 1. jaanuaril või hiljem.“;</w:t>
            </w:r>
          </w:p>
          <w:p w14:paraId="68551377" w14:textId="77777777" w:rsidR="00E80527" w:rsidRPr="00E80527" w:rsidRDefault="00E80527" w:rsidP="00E80527">
            <w:pPr>
              <w:jc w:val="both"/>
              <w:textAlignment w:val="baseline"/>
              <w:rPr>
                <w:rFonts w:ascii="Times New Roman" w:eastAsia="Times New Roman" w:hAnsi="Times New Roman" w:cs="Times New Roman"/>
                <w:kern w:val="0"/>
                <w:lang w:eastAsia="et-EE"/>
                <w14:ligatures w14:val="none"/>
              </w:rPr>
            </w:pPr>
          </w:p>
          <w:p w14:paraId="22D8A5A8" w14:textId="77777777" w:rsidR="00E80527" w:rsidRDefault="00E80527" w:rsidP="00E80527">
            <w:pPr>
              <w:jc w:val="both"/>
              <w:textAlignment w:val="baseline"/>
              <w:rPr>
                <w:rFonts w:ascii="Times New Roman" w:eastAsia="Times New Roman" w:hAnsi="Times New Roman" w:cs="Times New Roman"/>
                <w:kern w:val="0"/>
                <w:lang w:eastAsia="et-EE"/>
                <w14:ligatures w14:val="none"/>
              </w:rPr>
            </w:pPr>
            <w:r w:rsidRPr="00E80527">
              <w:rPr>
                <w:rFonts w:ascii="Times New Roman" w:eastAsia="Times New Roman" w:hAnsi="Times New Roman" w:cs="Times New Roman"/>
                <w:kern w:val="0"/>
                <w:lang w:eastAsia="et-EE"/>
                <w14:ligatures w14:val="none"/>
              </w:rPr>
              <w:t>Loodame, et peate võimalikuks Kaubanduskoja ettepanekuga arvestada. Lisaks peame oluliseks, et eelnõu menetlus toimuks kiireloomuliselt, et eelnõus sisalduvad muudatused jõustuksid võimalikult kiiresti.</w:t>
            </w:r>
          </w:p>
          <w:p w14:paraId="1C87A87F" w14:textId="77777777" w:rsidR="00035617" w:rsidRPr="00E80527" w:rsidRDefault="00035617" w:rsidP="00E80527">
            <w:pPr>
              <w:jc w:val="both"/>
              <w:textAlignment w:val="baseline"/>
              <w:rPr>
                <w:rFonts w:ascii="Times New Roman" w:eastAsia="Times New Roman" w:hAnsi="Times New Roman" w:cs="Times New Roman"/>
                <w:kern w:val="0"/>
                <w:lang w:eastAsia="et-EE"/>
                <w14:ligatures w14:val="none"/>
              </w:rPr>
            </w:pPr>
          </w:p>
          <w:p w14:paraId="2F41AB7B" w14:textId="77777777" w:rsidR="00E920E2" w:rsidRPr="00E80527" w:rsidRDefault="00E920E2" w:rsidP="00E920E2">
            <w:pPr>
              <w:jc w:val="both"/>
              <w:textAlignment w:val="baseline"/>
              <w:rPr>
                <w:rFonts w:ascii="Times New Roman" w:eastAsia="Times New Roman" w:hAnsi="Times New Roman" w:cs="Times New Roman"/>
                <w:kern w:val="0"/>
                <w:lang w:eastAsia="et-EE"/>
                <w14:ligatures w14:val="none"/>
              </w:rPr>
            </w:pPr>
          </w:p>
        </w:tc>
        <w:tc>
          <w:tcPr>
            <w:tcW w:w="2289" w:type="dxa"/>
          </w:tcPr>
          <w:p w14:paraId="055C6893" w14:textId="75ACC9A7" w:rsidR="00E920E2" w:rsidRPr="00E920E2" w:rsidRDefault="00F00F9A" w:rsidP="00E920E2">
            <w:pPr>
              <w:jc w:val="center"/>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Arvestatud</w:t>
            </w:r>
          </w:p>
        </w:tc>
        <w:tc>
          <w:tcPr>
            <w:tcW w:w="2389" w:type="dxa"/>
          </w:tcPr>
          <w:p w14:paraId="45248F8A" w14:textId="5F73C1B8" w:rsidR="00E920E2" w:rsidRPr="00E920E2" w:rsidRDefault="00F00F9A" w:rsidP="5596B2D2">
            <w:pPr>
              <w:jc w:val="both"/>
              <w:rPr>
                <w:rFonts w:ascii="Times New Roman" w:eastAsia="Times New Roman" w:hAnsi="Times New Roman" w:cs="Times New Roman"/>
                <w:highlight w:val="yellow"/>
                <w:lang w:eastAsia="et-EE"/>
              </w:rPr>
            </w:pPr>
            <w:r w:rsidRPr="5596B2D2">
              <w:rPr>
                <w:rFonts w:ascii="Times New Roman" w:eastAsia="Times New Roman" w:hAnsi="Times New Roman" w:cs="Times New Roman"/>
                <w:kern w:val="0"/>
                <w:lang w:eastAsia="et-EE"/>
                <w14:ligatures w14:val="none"/>
              </w:rPr>
              <w:t>Eelnõu ja seletuskir</w:t>
            </w:r>
            <w:r w:rsidR="736316F0" w:rsidRPr="5596B2D2">
              <w:rPr>
                <w:rFonts w:ascii="Times New Roman" w:eastAsia="Times New Roman" w:hAnsi="Times New Roman" w:cs="Times New Roman"/>
                <w:kern w:val="0"/>
                <w:lang w:eastAsia="et-EE"/>
                <w14:ligatures w14:val="none"/>
              </w:rPr>
              <w:t>ja on</w:t>
            </w:r>
            <w:r w:rsidRPr="5596B2D2">
              <w:rPr>
                <w:rFonts w:ascii="Times New Roman" w:eastAsia="Times New Roman" w:hAnsi="Times New Roman" w:cs="Times New Roman"/>
                <w:kern w:val="0"/>
                <w:lang w:eastAsia="et-EE"/>
                <w14:ligatures w14:val="none"/>
              </w:rPr>
              <w:t xml:space="preserve"> </w:t>
            </w:r>
            <w:r w:rsidRPr="5596B2D2">
              <w:rPr>
                <w:rFonts w:ascii="Times New Roman" w:eastAsia="Times New Roman" w:hAnsi="Times New Roman" w:cs="Times New Roman"/>
                <w:lang w:eastAsia="et-EE"/>
              </w:rPr>
              <w:t>vastavalt</w:t>
            </w:r>
            <w:r w:rsidRPr="5596B2D2">
              <w:rPr>
                <w:rFonts w:ascii="Times New Roman" w:eastAsia="Times New Roman" w:hAnsi="Times New Roman" w:cs="Times New Roman"/>
                <w:kern w:val="0"/>
                <w:lang w:eastAsia="et-EE"/>
                <w14:ligatures w14:val="none"/>
              </w:rPr>
              <w:t xml:space="preserve"> </w:t>
            </w:r>
            <w:r w:rsidRPr="5596B2D2">
              <w:rPr>
                <w:rFonts w:eastAsiaTheme="minorEastAsia"/>
                <w:lang w:eastAsia="et-EE"/>
              </w:rPr>
              <w:t>muudetud</w:t>
            </w:r>
            <w:r w:rsidR="00B07FDD" w:rsidRPr="5596B2D2">
              <w:rPr>
                <w:rFonts w:ascii="Times New Roman" w:eastAsia="Times New Roman" w:hAnsi="Times New Roman" w:cs="Times New Roman"/>
                <w:kern w:val="0"/>
                <w:lang w:eastAsia="et-EE"/>
                <w14:ligatures w14:val="none"/>
              </w:rPr>
              <w:t>.</w:t>
            </w:r>
          </w:p>
        </w:tc>
      </w:tr>
      <w:tr w:rsidR="003A6555" w:rsidRPr="00E920E2" w14:paraId="37CA91FE" w14:textId="77777777" w:rsidTr="00437792">
        <w:trPr>
          <w:trHeight w:val="285"/>
        </w:trPr>
        <w:tc>
          <w:tcPr>
            <w:tcW w:w="10514" w:type="dxa"/>
            <w:gridSpan w:val="4"/>
          </w:tcPr>
          <w:p w14:paraId="7167D7B1" w14:textId="579FD44E" w:rsidR="003A6555" w:rsidRPr="00C42F47" w:rsidRDefault="00EA1017" w:rsidP="00E920E2">
            <w:pPr>
              <w:jc w:val="both"/>
              <w:textAlignment w:val="baseline"/>
              <w:rPr>
                <w:rFonts w:ascii="Times New Roman" w:eastAsia="Times New Roman" w:hAnsi="Times New Roman" w:cs="Times New Roman"/>
                <w:b/>
                <w:bCs/>
                <w:kern w:val="0"/>
                <w:lang w:eastAsia="et-EE"/>
                <w14:ligatures w14:val="none"/>
              </w:rPr>
            </w:pPr>
            <w:r w:rsidRPr="00C42F47">
              <w:rPr>
                <w:rFonts w:ascii="Times New Roman" w:eastAsia="Times New Roman" w:hAnsi="Times New Roman" w:cs="Times New Roman"/>
                <w:b/>
                <w:bCs/>
                <w:kern w:val="0"/>
                <w:lang w:eastAsia="et-EE"/>
                <w14:ligatures w14:val="none"/>
              </w:rPr>
              <w:t xml:space="preserve">Eesti </w:t>
            </w:r>
            <w:r w:rsidR="00C42F47" w:rsidRPr="00C42F47">
              <w:rPr>
                <w:rFonts w:ascii="Times New Roman" w:eastAsia="Times New Roman" w:hAnsi="Times New Roman" w:cs="Times New Roman"/>
                <w:b/>
                <w:bCs/>
                <w:kern w:val="0"/>
                <w:lang w:eastAsia="et-EE"/>
                <w14:ligatures w14:val="none"/>
              </w:rPr>
              <w:t>Raamatupidajate Kogu</w:t>
            </w:r>
          </w:p>
        </w:tc>
      </w:tr>
      <w:tr w:rsidR="00E80527" w:rsidRPr="00E920E2" w14:paraId="7DB0D26E" w14:textId="77777777" w:rsidTr="00437792">
        <w:trPr>
          <w:trHeight w:val="285"/>
        </w:trPr>
        <w:tc>
          <w:tcPr>
            <w:tcW w:w="398" w:type="dxa"/>
          </w:tcPr>
          <w:p w14:paraId="2B18EF95" w14:textId="3089AA0D" w:rsidR="00E80527" w:rsidRDefault="003A6555" w:rsidP="00E920E2">
            <w:pPr>
              <w:jc w:val="both"/>
              <w:textAlignment w:val="baseline"/>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1</w:t>
            </w:r>
            <w:r w:rsidR="00035617">
              <w:rPr>
                <w:rFonts w:ascii="Times New Roman" w:eastAsia="Times New Roman" w:hAnsi="Times New Roman" w:cs="Times New Roman"/>
                <w:b/>
                <w:bCs/>
                <w:kern w:val="0"/>
                <w:lang w:eastAsia="et-EE"/>
                <w14:ligatures w14:val="none"/>
              </w:rPr>
              <w:t>2</w:t>
            </w:r>
          </w:p>
        </w:tc>
        <w:tc>
          <w:tcPr>
            <w:tcW w:w="5438" w:type="dxa"/>
          </w:tcPr>
          <w:p w14:paraId="76ABDE46" w14:textId="705734B9" w:rsidR="00E80527" w:rsidRPr="00E80527" w:rsidRDefault="00CF36E6" w:rsidP="00E80527">
            <w:pPr>
              <w:jc w:val="both"/>
              <w:textAlignment w:val="baseline"/>
              <w:rPr>
                <w:rFonts w:ascii="Times New Roman" w:eastAsia="Times New Roman" w:hAnsi="Times New Roman" w:cs="Times New Roman"/>
                <w:kern w:val="0"/>
                <w:lang w:eastAsia="et-EE"/>
                <w14:ligatures w14:val="none"/>
              </w:rPr>
            </w:pPr>
            <w:r w:rsidRPr="00A21EFC">
              <w:rPr>
                <w:rFonts w:ascii="Times New Roman" w:eastAsia="Times New Roman" w:hAnsi="Times New Roman" w:cs="Times New Roman"/>
                <w:b/>
                <w:bCs/>
                <w:kern w:val="0"/>
                <w:lang w:eastAsia="et-EE"/>
                <w14:ligatures w14:val="none"/>
              </w:rPr>
              <w:t>Täpsustada 2026. majandusaasta kohaldumist</w:t>
            </w:r>
            <w:r w:rsidRPr="00CF36E6">
              <w:rPr>
                <w:rFonts w:ascii="Times New Roman" w:eastAsia="Times New Roman" w:hAnsi="Times New Roman" w:cs="Times New Roman"/>
                <w:kern w:val="0"/>
                <w:lang w:eastAsia="et-EE"/>
                <w14:ligatures w14:val="none"/>
              </w:rPr>
              <w:t xml:space="preserve"> Palume eelnõu rakendussä</w:t>
            </w:r>
            <w:r w:rsidR="00A21EFC">
              <w:rPr>
                <w:rFonts w:ascii="Times New Roman" w:eastAsia="Times New Roman" w:hAnsi="Times New Roman" w:cs="Times New Roman"/>
                <w:kern w:val="0"/>
                <w:lang w:eastAsia="et-EE"/>
                <w14:ligatures w14:val="none"/>
              </w:rPr>
              <w:t>tt</w:t>
            </w:r>
            <w:r w:rsidRPr="00CF36E6">
              <w:rPr>
                <w:rFonts w:ascii="Times New Roman" w:eastAsia="Times New Roman" w:hAnsi="Times New Roman" w:cs="Times New Roman"/>
                <w:kern w:val="0"/>
                <w:lang w:eastAsia="et-EE"/>
                <w14:ligatures w14:val="none"/>
              </w:rPr>
              <w:t>ed ja seletuskiri omavahel kooskõlla viia küsimuses, kas e</w:t>
            </w:r>
            <w:r w:rsidR="00A21EFC">
              <w:rPr>
                <w:rFonts w:ascii="Times New Roman" w:eastAsia="Times New Roman" w:hAnsi="Times New Roman" w:cs="Times New Roman"/>
                <w:kern w:val="0"/>
                <w:lang w:eastAsia="et-EE"/>
                <w14:ligatures w14:val="none"/>
              </w:rPr>
              <w:t>tt</w:t>
            </w:r>
            <w:r w:rsidRPr="00CF36E6">
              <w:rPr>
                <w:rFonts w:ascii="Times New Roman" w:eastAsia="Times New Roman" w:hAnsi="Times New Roman" w:cs="Times New Roman"/>
                <w:kern w:val="0"/>
                <w:lang w:eastAsia="et-EE"/>
                <w14:ligatures w14:val="none"/>
              </w:rPr>
              <w:t xml:space="preserve">evõtjatel, kelle </w:t>
            </w:r>
            <w:proofErr w:type="spellStart"/>
            <w:r w:rsidRPr="00CF36E6">
              <w:rPr>
                <w:rFonts w:ascii="Times New Roman" w:eastAsia="Times New Roman" w:hAnsi="Times New Roman" w:cs="Times New Roman"/>
                <w:kern w:val="0"/>
                <w:lang w:eastAsia="et-EE"/>
                <w14:ligatures w14:val="none"/>
              </w:rPr>
              <w:t>kestlikkusaruande</w:t>
            </w:r>
            <w:proofErr w:type="spellEnd"/>
            <w:r w:rsidRPr="00CF36E6">
              <w:rPr>
                <w:rFonts w:ascii="Times New Roman" w:eastAsia="Times New Roman" w:hAnsi="Times New Roman" w:cs="Times New Roman"/>
                <w:kern w:val="0"/>
                <w:lang w:eastAsia="et-EE"/>
                <w14:ligatures w14:val="none"/>
              </w:rPr>
              <w:t xml:space="preserve"> koostamise kohustus eelnõu tulemusel ära langeb, säilib kohustus koostada </w:t>
            </w:r>
            <w:proofErr w:type="spellStart"/>
            <w:r w:rsidRPr="00CF36E6">
              <w:rPr>
                <w:rFonts w:ascii="Times New Roman" w:eastAsia="Times New Roman" w:hAnsi="Times New Roman" w:cs="Times New Roman"/>
                <w:kern w:val="0"/>
                <w:lang w:eastAsia="et-EE"/>
                <w14:ligatures w14:val="none"/>
              </w:rPr>
              <w:t>kestlikkusaruanne</w:t>
            </w:r>
            <w:proofErr w:type="spellEnd"/>
            <w:r w:rsidRPr="00CF36E6">
              <w:rPr>
                <w:rFonts w:ascii="Times New Roman" w:eastAsia="Times New Roman" w:hAnsi="Times New Roman" w:cs="Times New Roman"/>
                <w:kern w:val="0"/>
                <w:lang w:eastAsia="et-EE"/>
                <w14:ligatures w14:val="none"/>
              </w:rPr>
              <w:t xml:space="preserve"> 2026. majandusaasta kohta või mi</w:t>
            </w:r>
            <w:r w:rsidR="00A21EFC">
              <w:rPr>
                <w:rFonts w:ascii="Times New Roman" w:eastAsia="Times New Roman" w:hAnsi="Times New Roman" w:cs="Times New Roman"/>
                <w:kern w:val="0"/>
                <w:lang w:eastAsia="et-EE"/>
                <w14:ligatures w14:val="none"/>
              </w:rPr>
              <w:t>tt</w:t>
            </w:r>
            <w:r w:rsidRPr="00CF36E6">
              <w:rPr>
                <w:rFonts w:ascii="Times New Roman" w:eastAsia="Times New Roman" w:hAnsi="Times New Roman" w:cs="Times New Roman"/>
                <w:kern w:val="0"/>
                <w:lang w:eastAsia="et-EE"/>
                <w14:ligatures w14:val="none"/>
              </w:rPr>
              <w:t>e. Seletuskirjast jääb mulje, et eesmärk on anda e</w:t>
            </w:r>
            <w:r w:rsidR="00A21EFC">
              <w:rPr>
                <w:rFonts w:ascii="Times New Roman" w:eastAsia="Times New Roman" w:hAnsi="Times New Roman" w:cs="Times New Roman"/>
                <w:kern w:val="0"/>
                <w:lang w:eastAsia="et-EE"/>
                <w14:ligatures w14:val="none"/>
              </w:rPr>
              <w:t>tt</w:t>
            </w:r>
            <w:r w:rsidRPr="00CF36E6">
              <w:rPr>
                <w:rFonts w:ascii="Times New Roman" w:eastAsia="Times New Roman" w:hAnsi="Times New Roman" w:cs="Times New Roman"/>
                <w:kern w:val="0"/>
                <w:lang w:eastAsia="et-EE"/>
                <w14:ligatures w14:val="none"/>
              </w:rPr>
              <w:t xml:space="preserve">evõtjatele kindlus, et nad ei pea 2026. aasta 1. jaanuaril või hiljem algava majandusaasta kohta </w:t>
            </w:r>
            <w:proofErr w:type="spellStart"/>
            <w:r w:rsidRPr="00CF36E6">
              <w:rPr>
                <w:rFonts w:ascii="Times New Roman" w:eastAsia="Times New Roman" w:hAnsi="Times New Roman" w:cs="Times New Roman"/>
                <w:kern w:val="0"/>
                <w:lang w:eastAsia="et-EE"/>
                <w14:ligatures w14:val="none"/>
              </w:rPr>
              <w:t>kestlikkusaruannet</w:t>
            </w:r>
            <w:proofErr w:type="spellEnd"/>
            <w:r w:rsidRPr="00CF36E6">
              <w:rPr>
                <w:rFonts w:ascii="Times New Roman" w:eastAsia="Times New Roman" w:hAnsi="Times New Roman" w:cs="Times New Roman"/>
                <w:kern w:val="0"/>
                <w:lang w:eastAsia="et-EE"/>
                <w14:ligatures w14:val="none"/>
              </w:rPr>
              <w:t xml:space="preserve"> koostama ega selle audiitorkontrolli tellima. Samas võib rakendussätete sõnastusest järeldada, et teatud senised kohustused kohalduvad veel aruandeperioodidele, mis lõpevad hiljemalt 2026. aasta 31. detsembril. Raamatupidajate, e</w:t>
            </w:r>
            <w:r w:rsidR="00A21EFC">
              <w:rPr>
                <w:rFonts w:ascii="Times New Roman" w:eastAsia="Times New Roman" w:hAnsi="Times New Roman" w:cs="Times New Roman"/>
                <w:kern w:val="0"/>
                <w:lang w:eastAsia="et-EE"/>
                <w14:ligatures w14:val="none"/>
              </w:rPr>
              <w:t>tt</w:t>
            </w:r>
            <w:r w:rsidRPr="00CF36E6">
              <w:rPr>
                <w:rFonts w:ascii="Times New Roman" w:eastAsia="Times New Roman" w:hAnsi="Times New Roman" w:cs="Times New Roman"/>
                <w:kern w:val="0"/>
                <w:lang w:eastAsia="et-EE"/>
                <w14:ligatures w14:val="none"/>
              </w:rPr>
              <w:t>evõtjate ja audiitorite jaoks on see üks olulisemaid prak</w:t>
            </w:r>
            <w:r w:rsidR="00A21EFC">
              <w:rPr>
                <w:rFonts w:ascii="Times New Roman" w:eastAsia="Times New Roman" w:hAnsi="Times New Roman" w:cs="Times New Roman"/>
                <w:kern w:val="0"/>
                <w:lang w:eastAsia="et-EE"/>
                <w14:ligatures w14:val="none"/>
              </w:rPr>
              <w:t>ti</w:t>
            </w:r>
            <w:r w:rsidRPr="00CF36E6">
              <w:rPr>
                <w:rFonts w:ascii="Times New Roman" w:eastAsia="Times New Roman" w:hAnsi="Times New Roman" w:cs="Times New Roman"/>
                <w:kern w:val="0"/>
                <w:lang w:eastAsia="et-EE"/>
                <w14:ligatures w14:val="none"/>
              </w:rPr>
              <w:t>lisi küsimusi, sest aruandlusprotsessi, andmekogumise ja audiitorkontrolli e</w:t>
            </w:r>
            <w:r w:rsidR="00A21EFC">
              <w:rPr>
                <w:rFonts w:ascii="Times New Roman" w:eastAsia="Times New Roman" w:hAnsi="Times New Roman" w:cs="Times New Roman"/>
                <w:kern w:val="0"/>
                <w:lang w:eastAsia="et-EE"/>
                <w14:ligatures w14:val="none"/>
              </w:rPr>
              <w:t>tt</w:t>
            </w:r>
            <w:r w:rsidRPr="00CF36E6">
              <w:rPr>
                <w:rFonts w:ascii="Times New Roman" w:eastAsia="Times New Roman" w:hAnsi="Times New Roman" w:cs="Times New Roman"/>
                <w:kern w:val="0"/>
                <w:lang w:eastAsia="et-EE"/>
                <w14:ligatures w14:val="none"/>
              </w:rPr>
              <w:t>evalmistamisega alustatakse oluliselt enne aruande esitamise tähtaega. Seetõ</w:t>
            </w:r>
            <w:r w:rsidR="00A21EFC">
              <w:rPr>
                <w:rFonts w:ascii="Times New Roman" w:eastAsia="Times New Roman" w:hAnsi="Times New Roman" w:cs="Times New Roman"/>
                <w:kern w:val="0"/>
                <w:lang w:eastAsia="et-EE"/>
                <w14:ligatures w14:val="none"/>
              </w:rPr>
              <w:t>tt</w:t>
            </w:r>
            <w:r w:rsidRPr="00CF36E6">
              <w:rPr>
                <w:rFonts w:ascii="Times New Roman" w:eastAsia="Times New Roman" w:hAnsi="Times New Roman" w:cs="Times New Roman"/>
                <w:kern w:val="0"/>
                <w:lang w:eastAsia="et-EE"/>
                <w14:ligatures w14:val="none"/>
              </w:rPr>
              <w:t>u palume sõnastada üheselt, millistele majandusaastatele uus kohaldamisala keh</w:t>
            </w:r>
            <w:r w:rsidR="00A21EFC">
              <w:rPr>
                <w:rFonts w:ascii="Times New Roman" w:eastAsia="Times New Roman" w:hAnsi="Times New Roman" w:cs="Times New Roman"/>
                <w:kern w:val="0"/>
                <w:lang w:eastAsia="et-EE"/>
                <w14:ligatures w14:val="none"/>
              </w:rPr>
              <w:t>ti</w:t>
            </w:r>
            <w:r w:rsidRPr="00CF36E6">
              <w:rPr>
                <w:rFonts w:ascii="Times New Roman" w:eastAsia="Times New Roman" w:hAnsi="Times New Roman" w:cs="Times New Roman"/>
                <w:kern w:val="0"/>
                <w:lang w:eastAsia="et-EE"/>
                <w14:ligatures w14:val="none"/>
              </w:rPr>
              <w:t xml:space="preserve">b ja </w:t>
            </w:r>
            <w:r w:rsidRPr="00CF36E6">
              <w:rPr>
                <w:rFonts w:ascii="Times New Roman" w:eastAsia="Times New Roman" w:hAnsi="Times New Roman" w:cs="Times New Roman"/>
                <w:kern w:val="0"/>
                <w:lang w:eastAsia="et-EE"/>
                <w14:ligatures w14:val="none"/>
              </w:rPr>
              <w:lastRenderedPageBreak/>
              <w:t>millistele aruandeperioodidele kohaldub varasem regulatsioon.</w:t>
            </w:r>
          </w:p>
        </w:tc>
        <w:tc>
          <w:tcPr>
            <w:tcW w:w="2289" w:type="dxa"/>
          </w:tcPr>
          <w:p w14:paraId="3A7B17A5" w14:textId="62CEB3AB" w:rsidR="00E80527" w:rsidRPr="00E920E2" w:rsidRDefault="00B96FC2" w:rsidP="00E920E2">
            <w:pPr>
              <w:jc w:val="center"/>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lastRenderedPageBreak/>
              <w:t>Arvestatud</w:t>
            </w:r>
          </w:p>
        </w:tc>
        <w:tc>
          <w:tcPr>
            <w:tcW w:w="2389" w:type="dxa"/>
          </w:tcPr>
          <w:p w14:paraId="1F46E44B" w14:textId="6E3463B4" w:rsidR="00E80527" w:rsidRPr="00E920E2" w:rsidRDefault="00AF3087" w:rsidP="00E920E2">
            <w:pPr>
              <w:jc w:val="both"/>
              <w:textAlignment w:val="baseline"/>
              <w:rPr>
                <w:rFonts w:ascii="Times New Roman" w:eastAsia="Times New Roman" w:hAnsi="Times New Roman" w:cs="Times New Roman"/>
                <w:kern w:val="0"/>
                <w:lang w:eastAsia="et-EE"/>
                <w14:ligatures w14:val="none"/>
              </w:rPr>
            </w:pPr>
            <w:r w:rsidRPr="5596B2D2">
              <w:rPr>
                <w:rFonts w:ascii="Times New Roman" w:eastAsia="Times New Roman" w:hAnsi="Times New Roman" w:cs="Times New Roman"/>
                <w:kern w:val="0"/>
                <w:lang w:eastAsia="et-EE"/>
                <w14:ligatures w14:val="none"/>
              </w:rPr>
              <w:t xml:space="preserve">Seondub </w:t>
            </w:r>
            <w:r w:rsidR="008767B5" w:rsidRPr="5596B2D2">
              <w:rPr>
                <w:rFonts w:ascii="Times New Roman" w:eastAsia="Times New Roman" w:hAnsi="Times New Roman" w:cs="Times New Roman"/>
                <w:kern w:val="0"/>
                <w:lang w:eastAsia="et-EE"/>
                <w14:ligatures w14:val="none"/>
              </w:rPr>
              <w:t xml:space="preserve">Kaubandus-Tööstuskoja </w:t>
            </w:r>
            <w:r w:rsidR="006D23DD" w:rsidRPr="5596B2D2">
              <w:rPr>
                <w:rFonts w:ascii="Times New Roman" w:eastAsia="Times New Roman" w:hAnsi="Times New Roman" w:cs="Times New Roman"/>
                <w:kern w:val="0"/>
                <w:lang w:eastAsia="et-EE"/>
                <w14:ligatures w14:val="none"/>
              </w:rPr>
              <w:t xml:space="preserve">märkustega 14 ja 15. </w:t>
            </w:r>
            <w:r w:rsidR="00B96FC2" w:rsidRPr="5596B2D2">
              <w:rPr>
                <w:rFonts w:ascii="Times New Roman" w:eastAsia="Times New Roman" w:hAnsi="Times New Roman" w:cs="Times New Roman"/>
                <w:kern w:val="0"/>
                <w:lang w:eastAsia="et-EE"/>
                <w14:ligatures w14:val="none"/>
              </w:rPr>
              <w:t>Eelnõu ja seletuskir</w:t>
            </w:r>
            <w:r w:rsidR="0C776D84" w:rsidRPr="5596B2D2">
              <w:rPr>
                <w:rFonts w:ascii="Times New Roman" w:eastAsia="Times New Roman" w:hAnsi="Times New Roman" w:cs="Times New Roman"/>
                <w:kern w:val="0"/>
                <w:lang w:eastAsia="et-EE"/>
                <w14:ligatures w14:val="none"/>
              </w:rPr>
              <w:t>ja on</w:t>
            </w:r>
            <w:r w:rsidR="00B96FC2" w:rsidRPr="5596B2D2">
              <w:rPr>
                <w:rFonts w:ascii="Times New Roman" w:eastAsia="Times New Roman" w:hAnsi="Times New Roman" w:cs="Times New Roman"/>
                <w:kern w:val="0"/>
                <w:lang w:eastAsia="et-EE"/>
                <w14:ligatures w14:val="none"/>
              </w:rPr>
              <w:t xml:space="preserve"> </w:t>
            </w:r>
            <w:r w:rsidR="4BEBE338" w:rsidRPr="5596B2D2">
              <w:rPr>
                <w:rFonts w:ascii="Times New Roman" w:eastAsia="Times New Roman" w:hAnsi="Times New Roman" w:cs="Times New Roman"/>
                <w:kern w:val="0"/>
                <w:lang w:eastAsia="et-EE"/>
                <w14:ligatures w14:val="none"/>
              </w:rPr>
              <w:t xml:space="preserve">vastavalt </w:t>
            </w:r>
            <w:r w:rsidR="00B96FC2" w:rsidRPr="5596B2D2">
              <w:rPr>
                <w:rFonts w:ascii="Times New Roman" w:eastAsia="Times New Roman" w:hAnsi="Times New Roman" w:cs="Times New Roman"/>
                <w:kern w:val="0"/>
                <w:lang w:eastAsia="et-EE"/>
                <w14:ligatures w14:val="none"/>
              </w:rPr>
              <w:t>muudetud</w:t>
            </w:r>
            <w:r w:rsidR="008767B5" w:rsidRPr="5596B2D2">
              <w:rPr>
                <w:rFonts w:ascii="Times New Roman" w:eastAsia="Times New Roman" w:hAnsi="Times New Roman" w:cs="Times New Roman"/>
                <w:kern w:val="0"/>
                <w:lang w:eastAsia="et-EE"/>
                <w14:ligatures w14:val="none"/>
              </w:rPr>
              <w:t>.</w:t>
            </w:r>
          </w:p>
        </w:tc>
      </w:tr>
      <w:tr w:rsidR="00E80527" w:rsidRPr="00E920E2" w14:paraId="0D647CD3" w14:textId="77777777" w:rsidTr="00437792">
        <w:trPr>
          <w:trHeight w:val="285"/>
        </w:trPr>
        <w:tc>
          <w:tcPr>
            <w:tcW w:w="398" w:type="dxa"/>
          </w:tcPr>
          <w:p w14:paraId="7D9E145A" w14:textId="32582A8B" w:rsidR="00E80527" w:rsidRDefault="00CF36E6" w:rsidP="00E920E2">
            <w:pPr>
              <w:jc w:val="both"/>
              <w:textAlignment w:val="baseline"/>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1</w:t>
            </w:r>
            <w:r w:rsidR="00035617">
              <w:rPr>
                <w:rFonts w:ascii="Times New Roman" w:eastAsia="Times New Roman" w:hAnsi="Times New Roman" w:cs="Times New Roman"/>
                <w:b/>
                <w:bCs/>
                <w:kern w:val="0"/>
                <w:lang w:eastAsia="et-EE"/>
                <w14:ligatures w14:val="none"/>
              </w:rPr>
              <w:t>3</w:t>
            </w:r>
          </w:p>
        </w:tc>
        <w:tc>
          <w:tcPr>
            <w:tcW w:w="5438" w:type="dxa"/>
          </w:tcPr>
          <w:p w14:paraId="347FC1F3" w14:textId="3BAECBCA" w:rsidR="00E80527" w:rsidRPr="00E80527" w:rsidRDefault="00CF36E6" w:rsidP="00E80527">
            <w:pPr>
              <w:jc w:val="both"/>
              <w:textAlignment w:val="baseline"/>
              <w:rPr>
                <w:rFonts w:ascii="Times New Roman" w:eastAsia="Times New Roman" w:hAnsi="Times New Roman" w:cs="Times New Roman"/>
                <w:kern w:val="0"/>
                <w:lang w:eastAsia="et-EE"/>
                <w14:ligatures w14:val="none"/>
              </w:rPr>
            </w:pPr>
            <w:r w:rsidRPr="00A21EFC">
              <w:rPr>
                <w:rFonts w:ascii="Times New Roman" w:eastAsia="Times New Roman" w:hAnsi="Times New Roman" w:cs="Times New Roman"/>
                <w:b/>
                <w:bCs/>
                <w:kern w:val="0"/>
                <w:lang w:eastAsia="et-EE"/>
                <w14:ligatures w14:val="none"/>
              </w:rPr>
              <w:t>Lisada prak</w:t>
            </w:r>
            <w:r w:rsidR="00A21EFC" w:rsidRPr="00A21EFC">
              <w:rPr>
                <w:rFonts w:ascii="Times New Roman" w:eastAsia="Times New Roman" w:hAnsi="Times New Roman" w:cs="Times New Roman"/>
                <w:b/>
                <w:bCs/>
                <w:kern w:val="0"/>
                <w:lang w:eastAsia="et-EE"/>
                <w14:ligatures w14:val="none"/>
              </w:rPr>
              <w:t>ti</w:t>
            </w:r>
            <w:r w:rsidRPr="00A21EFC">
              <w:rPr>
                <w:rFonts w:ascii="Times New Roman" w:eastAsia="Times New Roman" w:hAnsi="Times New Roman" w:cs="Times New Roman"/>
                <w:b/>
                <w:bCs/>
                <w:kern w:val="0"/>
                <w:lang w:eastAsia="et-EE"/>
                <w14:ligatures w14:val="none"/>
              </w:rPr>
              <w:t>line juhis kaitstud e</w:t>
            </w:r>
            <w:r w:rsidR="00A21EFC" w:rsidRPr="00A21EFC">
              <w:rPr>
                <w:rFonts w:ascii="Times New Roman" w:eastAsia="Times New Roman" w:hAnsi="Times New Roman" w:cs="Times New Roman"/>
                <w:b/>
                <w:bCs/>
                <w:kern w:val="0"/>
                <w:lang w:eastAsia="et-EE"/>
                <w14:ligatures w14:val="none"/>
              </w:rPr>
              <w:t>tt</w:t>
            </w:r>
            <w:r w:rsidRPr="00A21EFC">
              <w:rPr>
                <w:rFonts w:ascii="Times New Roman" w:eastAsia="Times New Roman" w:hAnsi="Times New Roman" w:cs="Times New Roman"/>
                <w:b/>
                <w:bCs/>
                <w:kern w:val="0"/>
                <w:lang w:eastAsia="et-EE"/>
                <w14:ligatures w14:val="none"/>
              </w:rPr>
              <w:t>evõtjate kohta</w:t>
            </w:r>
            <w:r w:rsidRPr="00CF36E6">
              <w:rPr>
                <w:rFonts w:ascii="Times New Roman" w:eastAsia="Times New Roman" w:hAnsi="Times New Roman" w:cs="Times New Roman"/>
                <w:kern w:val="0"/>
                <w:lang w:eastAsia="et-EE"/>
                <w14:ligatures w14:val="none"/>
              </w:rPr>
              <w:t xml:space="preserve"> Palume kaaluda seletuskirja täiendamist või eraldi juhendmaterjali koostamist kaitstud e</w:t>
            </w:r>
            <w:r w:rsidR="00A21EFC">
              <w:rPr>
                <w:rFonts w:ascii="Times New Roman" w:eastAsia="Times New Roman" w:hAnsi="Times New Roman" w:cs="Times New Roman"/>
                <w:kern w:val="0"/>
                <w:lang w:eastAsia="et-EE"/>
                <w14:ligatures w14:val="none"/>
              </w:rPr>
              <w:t>tt</w:t>
            </w:r>
            <w:r w:rsidRPr="00CF36E6">
              <w:rPr>
                <w:rFonts w:ascii="Times New Roman" w:eastAsia="Times New Roman" w:hAnsi="Times New Roman" w:cs="Times New Roman"/>
                <w:kern w:val="0"/>
                <w:lang w:eastAsia="et-EE"/>
                <w14:ligatures w14:val="none"/>
              </w:rPr>
              <w:t>evõtja staatuse ja väärtusahela teabenõuete kohta. Prak</w:t>
            </w:r>
            <w:r w:rsidR="00A21EFC">
              <w:rPr>
                <w:rFonts w:ascii="Times New Roman" w:eastAsia="Times New Roman" w:hAnsi="Times New Roman" w:cs="Times New Roman"/>
                <w:kern w:val="0"/>
                <w:lang w:eastAsia="et-EE"/>
                <w14:ligatures w14:val="none"/>
              </w:rPr>
              <w:t>ti</w:t>
            </w:r>
            <w:r w:rsidRPr="00CF36E6">
              <w:rPr>
                <w:rFonts w:ascii="Times New Roman" w:eastAsia="Times New Roman" w:hAnsi="Times New Roman" w:cs="Times New Roman"/>
                <w:kern w:val="0"/>
                <w:lang w:eastAsia="et-EE"/>
                <w14:ligatures w14:val="none"/>
              </w:rPr>
              <w:t>kas tekib raamatupidajatel ja e</w:t>
            </w:r>
            <w:r w:rsidR="00A21EFC">
              <w:rPr>
                <w:rFonts w:ascii="Times New Roman" w:eastAsia="Times New Roman" w:hAnsi="Times New Roman" w:cs="Times New Roman"/>
                <w:kern w:val="0"/>
                <w:lang w:eastAsia="et-EE"/>
                <w14:ligatures w14:val="none"/>
              </w:rPr>
              <w:t>tt</w:t>
            </w:r>
            <w:r w:rsidRPr="00CF36E6">
              <w:rPr>
                <w:rFonts w:ascii="Times New Roman" w:eastAsia="Times New Roman" w:hAnsi="Times New Roman" w:cs="Times New Roman"/>
                <w:kern w:val="0"/>
                <w:lang w:eastAsia="et-EE"/>
                <w14:ligatures w14:val="none"/>
              </w:rPr>
              <w:t>evõtjatel vajadus hinnata, millal võib e</w:t>
            </w:r>
            <w:r w:rsidR="00A21EFC">
              <w:rPr>
                <w:rFonts w:ascii="Times New Roman" w:eastAsia="Times New Roman" w:hAnsi="Times New Roman" w:cs="Times New Roman"/>
                <w:kern w:val="0"/>
                <w:lang w:eastAsia="et-EE"/>
                <w14:ligatures w14:val="none"/>
              </w:rPr>
              <w:t>tt</w:t>
            </w:r>
            <w:r w:rsidRPr="00CF36E6">
              <w:rPr>
                <w:rFonts w:ascii="Times New Roman" w:eastAsia="Times New Roman" w:hAnsi="Times New Roman" w:cs="Times New Roman"/>
                <w:kern w:val="0"/>
                <w:lang w:eastAsia="et-EE"/>
                <w14:ligatures w14:val="none"/>
              </w:rPr>
              <w:t>evõtja tugineda kaitstud e</w:t>
            </w:r>
            <w:r w:rsidR="00A21EFC">
              <w:rPr>
                <w:rFonts w:ascii="Times New Roman" w:eastAsia="Times New Roman" w:hAnsi="Times New Roman" w:cs="Times New Roman"/>
                <w:kern w:val="0"/>
                <w:lang w:eastAsia="et-EE"/>
                <w14:ligatures w14:val="none"/>
              </w:rPr>
              <w:t>tt</w:t>
            </w:r>
            <w:r w:rsidRPr="00CF36E6">
              <w:rPr>
                <w:rFonts w:ascii="Times New Roman" w:eastAsia="Times New Roman" w:hAnsi="Times New Roman" w:cs="Times New Roman"/>
                <w:kern w:val="0"/>
                <w:lang w:eastAsia="et-EE"/>
                <w14:ligatures w14:val="none"/>
              </w:rPr>
              <w:t xml:space="preserve">evõtja staatusele, kuidas seda kinnitada ning millises ulatuses võib </w:t>
            </w:r>
            <w:proofErr w:type="spellStart"/>
            <w:r w:rsidRPr="00CF36E6">
              <w:rPr>
                <w:rFonts w:ascii="Times New Roman" w:eastAsia="Times New Roman" w:hAnsi="Times New Roman" w:cs="Times New Roman"/>
                <w:kern w:val="0"/>
                <w:lang w:eastAsia="et-EE"/>
                <w14:ligatures w14:val="none"/>
              </w:rPr>
              <w:t>kestlikkusaruandja</w:t>
            </w:r>
            <w:proofErr w:type="spellEnd"/>
            <w:r w:rsidRPr="00CF36E6">
              <w:rPr>
                <w:rFonts w:ascii="Times New Roman" w:eastAsia="Times New Roman" w:hAnsi="Times New Roman" w:cs="Times New Roman"/>
                <w:kern w:val="0"/>
                <w:lang w:eastAsia="et-EE"/>
                <w14:ligatures w14:val="none"/>
              </w:rPr>
              <w:t xml:space="preserve"> teavet küsida. Ees</w:t>
            </w:r>
            <w:r w:rsidR="00A21EFC">
              <w:rPr>
                <w:rFonts w:ascii="Times New Roman" w:eastAsia="Times New Roman" w:hAnsi="Times New Roman" w:cs="Times New Roman"/>
                <w:kern w:val="0"/>
                <w:lang w:eastAsia="et-EE"/>
                <w14:ligatures w14:val="none"/>
              </w:rPr>
              <w:t>ti</w:t>
            </w:r>
            <w:r w:rsidRPr="00CF36E6">
              <w:rPr>
                <w:rFonts w:ascii="Times New Roman" w:eastAsia="Times New Roman" w:hAnsi="Times New Roman" w:cs="Times New Roman"/>
                <w:kern w:val="0"/>
                <w:lang w:eastAsia="et-EE"/>
                <w14:ligatures w14:val="none"/>
              </w:rPr>
              <w:t xml:space="preserve"> Raamatupidajate Kogu hinnangul oleks vajalik lihtne prak</w:t>
            </w:r>
            <w:r w:rsidR="00A21EFC">
              <w:rPr>
                <w:rFonts w:ascii="Times New Roman" w:eastAsia="Times New Roman" w:hAnsi="Times New Roman" w:cs="Times New Roman"/>
                <w:kern w:val="0"/>
                <w:lang w:eastAsia="et-EE"/>
                <w14:ligatures w14:val="none"/>
              </w:rPr>
              <w:t>ti</w:t>
            </w:r>
            <w:r w:rsidRPr="00CF36E6">
              <w:rPr>
                <w:rFonts w:ascii="Times New Roman" w:eastAsia="Times New Roman" w:hAnsi="Times New Roman" w:cs="Times New Roman"/>
                <w:kern w:val="0"/>
                <w:lang w:eastAsia="et-EE"/>
                <w14:ligatures w14:val="none"/>
              </w:rPr>
              <w:t>line juhis või vorm, mille abil väärtusahelas olev e</w:t>
            </w:r>
            <w:r w:rsidR="00A21EFC">
              <w:rPr>
                <w:rFonts w:ascii="Times New Roman" w:eastAsia="Times New Roman" w:hAnsi="Times New Roman" w:cs="Times New Roman"/>
                <w:kern w:val="0"/>
                <w:lang w:eastAsia="et-EE"/>
                <w14:ligatures w14:val="none"/>
              </w:rPr>
              <w:t>tt</w:t>
            </w:r>
            <w:r w:rsidRPr="00CF36E6">
              <w:rPr>
                <w:rFonts w:ascii="Times New Roman" w:eastAsia="Times New Roman" w:hAnsi="Times New Roman" w:cs="Times New Roman"/>
                <w:kern w:val="0"/>
                <w:lang w:eastAsia="et-EE"/>
                <w14:ligatures w14:val="none"/>
              </w:rPr>
              <w:t>evõtja saab kinnitada, et tema keskmine töötajate arv eelmisel aruandeaastal ei ületanud 1000 töötajat. Samu</w:t>
            </w:r>
            <w:r w:rsidR="00A21EFC">
              <w:rPr>
                <w:rFonts w:ascii="Times New Roman" w:eastAsia="Times New Roman" w:hAnsi="Times New Roman" w:cs="Times New Roman"/>
                <w:kern w:val="0"/>
                <w:lang w:eastAsia="et-EE"/>
                <w14:ligatures w14:val="none"/>
              </w:rPr>
              <w:t>ti</w:t>
            </w:r>
            <w:r w:rsidRPr="00CF36E6">
              <w:rPr>
                <w:rFonts w:ascii="Times New Roman" w:eastAsia="Times New Roman" w:hAnsi="Times New Roman" w:cs="Times New Roman"/>
                <w:kern w:val="0"/>
                <w:lang w:eastAsia="et-EE"/>
                <w14:ligatures w14:val="none"/>
              </w:rPr>
              <w:t xml:space="preserve"> peaks juhis selgitama, et </w:t>
            </w:r>
            <w:proofErr w:type="spellStart"/>
            <w:r w:rsidRPr="00CF36E6">
              <w:rPr>
                <w:rFonts w:ascii="Times New Roman" w:eastAsia="Times New Roman" w:hAnsi="Times New Roman" w:cs="Times New Roman"/>
                <w:kern w:val="0"/>
                <w:lang w:eastAsia="et-EE"/>
                <w14:ligatures w14:val="none"/>
              </w:rPr>
              <w:t>kestlikkusaruande</w:t>
            </w:r>
            <w:proofErr w:type="spellEnd"/>
            <w:r w:rsidRPr="00CF36E6">
              <w:rPr>
                <w:rFonts w:ascii="Times New Roman" w:eastAsia="Times New Roman" w:hAnsi="Times New Roman" w:cs="Times New Roman"/>
                <w:kern w:val="0"/>
                <w:lang w:eastAsia="et-EE"/>
                <w14:ligatures w14:val="none"/>
              </w:rPr>
              <w:t xml:space="preserve"> koostamiseks ei pea kaitstud e</w:t>
            </w:r>
            <w:r w:rsidR="00A21EFC">
              <w:rPr>
                <w:rFonts w:ascii="Times New Roman" w:eastAsia="Times New Roman" w:hAnsi="Times New Roman" w:cs="Times New Roman"/>
                <w:kern w:val="0"/>
                <w:lang w:eastAsia="et-EE"/>
                <w14:ligatures w14:val="none"/>
              </w:rPr>
              <w:t>tt</w:t>
            </w:r>
            <w:r w:rsidRPr="00CF36E6">
              <w:rPr>
                <w:rFonts w:ascii="Times New Roman" w:eastAsia="Times New Roman" w:hAnsi="Times New Roman" w:cs="Times New Roman"/>
                <w:kern w:val="0"/>
                <w:lang w:eastAsia="et-EE"/>
                <w14:ligatures w14:val="none"/>
              </w:rPr>
              <w:t xml:space="preserve">evõtja esitama vabatahtlikus </w:t>
            </w:r>
            <w:proofErr w:type="spellStart"/>
            <w:r w:rsidRPr="00CF36E6">
              <w:rPr>
                <w:rFonts w:ascii="Times New Roman" w:eastAsia="Times New Roman" w:hAnsi="Times New Roman" w:cs="Times New Roman"/>
                <w:kern w:val="0"/>
                <w:lang w:eastAsia="et-EE"/>
                <w14:ligatures w14:val="none"/>
              </w:rPr>
              <w:t>kestlikkusaruandluse</w:t>
            </w:r>
            <w:proofErr w:type="spellEnd"/>
            <w:r w:rsidRPr="00CF36E6">
              <w:rPr>
                <w:rFonts w:ascii="Times New Roman" w:eastAsia="Times New Roman" w:hAnsi="Times New Roman" w:cs="Times New Roman"/>
                <w:kern w:val="0"/>
                <w:lang w:eastAsia="et-EE"/>
                <w14:ligatures w14:val="none"/>
              </w:rPr>
              <w:t xml:space="preserve"> standardis sätestatust ulatuslikumat teavet.</w:t>
            </w:r>
          </w:p>
        </w:tc>
        <w:tc>
          <w:tcPr>
            <w:tcW w:w="2289" w:type="dxa"/>
          </w:tcPr>
          <w:p w14:paraId="2440477E" w14:textId="640E3976" w:rsidR="00E80527" w:rsidRPr="00E920E2" w:rsidRDefault="206DFC0D" w:rsidP="00E920E2">
            <w:pPr>
              <w:jc w:val="center"/>
              <w:textAlignment w:val="baseline"/>
              <w:rPr>
                <w:rFonts w:ascii="Times New Roman" w:eastAsia="Times New Roman" w:hAnsi="Times New Roman" w:cs="Times New Roman"/>
                <w:kern w:val="0"/>
                <w:lang w:eastAsia="et-EE"/>
                <w14:ligatures w14:val="none"/>
              </w:rPr>
            </w:pPr>
            <w:r w:rsidRPr="3B0803CE">
              <w:rPr>
                <w:rFonts w:ascii="Times New Roman" w:eastAsia="Times New Roman" w:hAnsi="Times New Roman" w:cs="Times New Roman"/>
                <w:lang w:eastAsia="et-EE"/>
              </w:rPr>
              <w:t>Mittearvestatud</w:t>
            </w:r>
          </w:p>
        </w:tc>
        <w:tc>
          <w:tcPr>
            <w:tcW w:w="2389" w:type="dxa"/>
          </w:tcPr>
          <w:p w14:paraId="510379CD" w14:textId="5F07D9EF" w:rsidR="00E80527" w:rsidRPr="00E920E2" w:rsidRDefault="289450E0" w:rsidP="00874B56">
            <w:pPr>
              <w:jc w:val="both"/>
              <w:textAlignment w:val="baseline"/>
              <w:rPr>
                <w:rFonts w:ascii="Times New Roman" w:eastAsia="Times New Roman" w:hAnsi="Times New Roman" w:cs="Times New Roman"/>
                <w:kern w:val="0"/>
                <w:lang w:eastAsia="et-EE"/>
                <w14:ligatures w14:val="none"/>
              </w:rPr>
            </w:pPr>
            <w:r w:rsidRPr="5596B2D2">
              <w:rPr>
                <w:rFonts w:ascii="Times New Roman" w:eastAsia="Times New Roman" w:hAnsi="Times New Roman" w:cs="Times New Roman"/>
                <w:lang w:eastAsia="et-EE"/>
              </w:rPr>
              <w:t>E</w:t>
            </w:r>
            <w:r w:rsidR="00127AD1" w:rsidRPr="5596B2D2">
              <w:rPr>
                <w:rFonts w:ascii="Times New Roman" w:eastAsia="Times New Roman" w:hAnsi="Times New Roman" w:cs="Times New Roman"/>
                <w:lang w:eastAsia="et-EE"/>
              </w:rPr>
              <w:t xml:space="preserve">elnõus ja direktiivis </w:t>
            </w:r>
            <w:r w:rsidR="57E07A3D" w:rsidRPr="5596B2D2">
              <w:rPr>
                <w:rFonts w:ascii="Times New Roman" w:eastAsia="Times New Roman" w:hAnsi="Times New Roman" w:cs="Times New Roman"/>
                <w:lang w:eastAsia="et-EE"/>
              </w:rPr>
              <w:t xml:space="preserve">on mõiste “kaitstud ettevõtja” </w:t>
            </w:r>
            <w:r w:rsidR="00127AD1" w:rsidRPr="5596B2D2">
              <w:rPr>
                <w:rFonts w:ascii="Times New Roman" w:eastAsia="Times New Roman" w:hAnsi="Times New Roman" w:cs="Times New Roman"/>
                <w:lang w:eastAsia="et-EE"/>
              </w:rPr>
              <w:t xml:space="preserve">üheselt defineeritud ja </w:t>
            </w:r>
            <w:r w:rsidR="002A14C3" w:rsidRPr="5596B2D2">
              <w:rPr>
                <w:rFonts w:ascii="Times New Roman" w:eastAsia="Times New Roman" w:hAnsi="Times New Roman" w:cs="Times New Roman"/>
                <w:lang w:eastAsia="et-EE"/>
              </w:rPr>
              <w:t>s</w:t>
            </w:r>
            <w:r w:rsidR="045F5F4D" w:rsidRPr="5596B2D2">
              <w:rPr>
                <w:rFonts w:ascii="Times New Roman" w:eastAsia="Times New Roman" w:hAnsi="Times New Roman" w:cs="Times New Roman"/>
                <w:lang w:eastAsia="et-EE"/>
              </w:rPr>
              <w:t>e</w:t>
            </w:r>
            <w:r w:rsidR="002A14C3" w:rsidRPr="5596B2D2">
              <w:rPr>
                <w:rFonts w:ascii="Times New Roman" w:eastAsia="Times New Roman" w:hAnsi="Times New Roman" w:cs="Times New Roman"/>
                <w:lang w:eastAsia="et-EE"/>
              </w:rPr>
              <w:t xml:space="preserve">e staatus </w:t>
            </w:r>
            <w:r w:rsidR="00127AD1" w:rsidRPr="5596B2D2">
              <w:rPr>
                <w:rFonts w:ascii="Times New Roman" w:eastAsia="Times New Roman" w:hAnsi="Times New Roman" w:cs="Times New Roman"/>
                <w:lang w:eastAsia="et-EE"/>
              </w:rPr>
              <w:t xml:space="preserve">sõltub </w:t>
            </w:r>
            <w:r w:rsidR="002A14C3" w:rsidRPr="5596B2D2">
              <w:rPr>
                <w:rFonts w:ascii="Times New Roman" w:eastAsia="Times New Roman" w:hAnsi="Times New Roman" w:cs="Times New Roman"/>
                <w:lang w:eastAsia="et-EE"/>
              </w:rPr>
              <w:t xml:space="preserve">ainult ühest suurusest, milleks on </w:t>
            </w:r>
            <w:r w:rsidR="00127AD1" w:rsidRPr="5596B2D2">
              <w:rPr>
                <w:rFonts w:ascii="Times New Roman" w:eastAsia="Times New Roman" w:hAnsi="Times New Roman" w:cs="Times New Roman"/>
                <w:lang w:eastAsia="et-EE"/>
              </w:rPr>
              <w:t>töötajate arv (</w:t>
            </w:r>
            <w:r w:rsidR="002A14C3" w:rsidRPr="5596B2D2">
              <w:rPr>
                <w:rFonts w:ascii="Times New Roman" w:eastAsia="Times New Roman" w:hAnsi="Times New Roman" w:cs="Times New Roman"/>
                <w:lang w:eastAsia="et-EE"/>
              </w:rPr>
              <w:t xml:space="preserve">kuni </w:t>
            </w:r>
            <w:r w:rsidR="00127AD1" w:rsidRPr="5596B2D2">
              <w:rPr>
                <w:rFonts w:ascii="Times New Roman" w:eastAsia="Times New Roman" w:hAnsi="Times New Roman" w:cs="Times New Roman"/>
                <w:lang w:eastAsia="et-EE"/>
              </w:rPr>
              <w:t>1000 töötajat</w:t>
            </w:r>
            <w:r w:rsidR="002A14C3" w:rsidRPr="5596B2D2">
              <w:rPr>
                <w:rFonts w:ascii="Times New Roman" w:eastAsia="Times New Roman" w:hAnsi="Times New Roman" w:cs="Times New Roman"/>
                <w:lang w:eastAsia="et-EE"/>
              </w:rPr>
              <w:t>)</w:t>
            </w:r>
            <w:r w:rsidR="00127AD1" w:rsidRPr="5596B2D2">
              <w:rPr>
                <w:rFonts w:ascii="Times New Roman" w:eastAsia="Times New Roman" w:hAnsi="Times New Roman" w:cs="Times New Roman"/>
                <w:lang w:eastAsia="et-EE"/>
              </w:rPr>
              <w:t>. Se</w:t>
            </w:r>
            <w:r w:rsidR="097720AF" w:rsidRPr="5596B2D2">
              <w:rPr>
                <w:rFonts w:ascii="Times New Roman" w:eastAsia="Times New Roman" w:hAnsi="Times New Roman" w:cs="Times New Roman"/>
                <w:lang w:eastAsia="et-EE"/>
              </w:rPr>
              <w:t>llekohane</w:t>
            </w:r>
            <w:r w:rsidR="00127AD1" w:rsidRPr="5596B2D2">
              <w:rPr>
                <w:rFonts w:ascii="Times New Roman" w:eastAsia="Times New Roman" w:hAnsi="Times New Roman" w:cs="Times New Roman"/>
                <w:lang w:eastAsia="et-EE"/>
              </w:rPr>
              <w:t xml:space="preserve"> info on iga ettevõtja kohta </w:t>
            </w:r>
            <w:r w:rsidR="00DD5255" w:rsidRPr="5596B2D2">
              <w:rPr>
                <w:rFonts w:ascii="Times New Roman" w:eastAsia="Times New Roman" w:hAnsi="Times New Roman" w:cs="Times New Roman"/>
                <w:lang w:eastAsia="et-EE"/>
              </w:rPr>
              <w:t xml:space="preserve">lihtsasti </w:t>
            </w:r>
            <w:r w:rsidR="00127AD1" w:rsidRPr="5596B2D2">
              <w:rPr>
                <w:rFonts w:ascii="Times New Roman" w:eastAsia="Times New Roman" w:hAnsi="Times New Roman" w:cs="Times New Roman"/>
                <w:lang w:eastAsia="et-EE"/>
              </w:rPr>
              <w:t xml:space="preserve">leitav </w:t>
            </w:r>
            <w:r w:rsidR="00DD5255" w:rsidRPr="5596B2D2">
              <w:rPr>
                <w:rFonts w:ascii="Times New Roman" w:eastAsia="Times New Roman" w:hAnsi="Times New Roman" w:cs="Times New Roman"/>
                <w:lang w:eastAsia="et-EE"/>
              </w:rPr>
              <w:t xml:space="preserve">nii </w:t>
            </w:r>
            <w:r w:rsidR="00127AD1" w:rsidRPr="5596B2D2">
              <w:rPr>
                <w:rFonts w:ascii="Times New Roman" w:eastAsia="Times New Roman" w:hAnsi="Times New Roman" w:cs="Times New Roman"/>
                <w:lang w:eastAsia="et-EE"/>
              </w:rPr>
              <w:t xml:space="preserve">äriregistrist </w:t>
            </w:r>
            <w:r w:rsidR="00DD5255" w:rsidRPr="5596B2D2">
              <w:rPr>
                <w:rFonts w:ascii="Times New Roman" w:eastAsia="Times New Roman" w:hAnsi="Times New Roman" w:cs="Times New Roman"/>
                <w:lang w:eastAsia="et-EE"/>
              </w:rPr>
              <w:t>kui</w:t>
            </w:r>
            <w:r w:rsidR="00127AD1" w:rsidRPr="5596B2D2">
              <w:rPr>
                <w:rFonts w:ascii="Times New Roman" w:eastAsia="Times New Roman" w:hAnsi="Times New Roman" w:cs="Times New Roman"/>
                <w:lang w:eastAsia="et-EE"/>
              </w:rPr>
              <w:t xml:space="preserve"> majandusaasta aruandest.</w:t>
            </w:r>
          </w:p>
        </w:tc>
      </w:tr>
      <w:tr w:rsidR="00E80527" w:rsidRPr="00E920E2" w14:paraId="6F60B495" w14:textId="77777777" w:rsidTr="00437792">
        <w:trPr>
          <w:trHeight w:val="285"/>
        </w:trPr>
        <w:tc>
          <w:tcPr>
            <w:tcW w:w="398" w:type="dxa"/>
          </w:tcPr>
          <w:p w14:paraId="473F632A" w14:textId="6870BB6A" w:rsidR="00E80527" w:rsidRDefault="00CF36E6" w:rsidP="00E920E2">
            <w:pPr>
              <w:jc w:val="both"/>
              <w:textAlignment w:val="baseline"/>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1</w:t>
            </w:r>
            <w:r w:rsidR="00035617">
              <w:rPr>
                <w:rFonts w:ascii="Times New Roman" w:eastAsia="Times New Roman" w:hAnsi="Times New Roman" w:cs="Times New Roman"/>
                <w:b/>
                <w:bCs/>
                <w:kern w:val="0"/>
                <w:lang w:eastAsia="et-EE"/>
                <w14:ligatures w14:val="none"/>
              </w:rPr>
              <w:t>4</w:t>
            </w:r>
          </w:p>
        </w:tc>
        <w:tc>
          <w:tcPr>
            <w:tcW w:w="5438" w:type="dxa"/>
          </w:tcPr>
          <w:p w14:paraId="18481B43" w14:textId="6679098A" w:rsidR="004C06E3" w:rsidRPr="00A21EFC" w:rsidRDefault="004C06E3" w:rsidP="00E80527">
            <w:pPr>
              <w:jc w:val="both"/>
              <w:textAlignment w:val="baseline"/>
              <w:rPr>
                <w:rFonts w:ascii="Times New Roman" w:eastAsia="Times New Roman" w:hAnsi="Times New Roman" w:cs="Times New Roman"/>
                <w:b/>
                <w:bCs/>
                <w:kern w:val="0"/>
                <w:lang w:eastAsia="et-EE"/>
                <w14:ligatures w14:val="none"/>
              </w:rPr>
            </w:pPr>
            <w:r w:rsidRPr="00A21EFC">
              <w:rPr>
                <w:rFonts w:ascii="Times New Roman" w:eastAsia="Times New Roman" w:hAnsi="Times New Roman" w:cs="Times New Roman"/>
                <w:b/>
                <w:bCs/>
                <w:kern w:val="0"/>
                <w:lang w:eastAsia="et-EE"/>
                <w14:ligatures w14:val="none"/>
              </w:rPr>
              <w:t xml:space="preserve">Täpsustada vabatahtliku </w:t>
            </w:r>
            <w:proofErr w:type="spellStart"/>
            <w:r w:rsidRPr="00A21EFC">
              <w:rPr>
                <w:rFonts w:ascii="Times New Roman" w:eastAsia="Times New Roman" w:hAnsi="Times New Roman" w:cs="Times New Roman"/>
                <w:b/>
                <w:bCs/>
                <w:kern w:val="0"/>
                <w:lang w:eastAsia="et-EE"/>
                <w14:ligatures w14:val="none"/>
              </w:rPr>
              <w:t>kestlikkusaruandluse</w:t>
            </w:r>
            <w:proofErr w:type="spellEnd"/>
            <w:r w:rsidRPr="00A21EFC">
              <w:rPr>
                <w:rFonts w:ascii="Times New Roman" w:eastAsia="Times New Roman" w:hAnsi="Times New Roman" w:cs="Times New Roman"/>
                <w:b/>
                <w:bCs/>
                <w:kern w:val="0"/>
                <w:lang w:eastAsia="et-EE"/>
                <w14:ligatures w14:val="none"/>
              </w:rPr>
              <w:t xml:space="preserve"> õiguslikku tähendust</w:t>
            </w:r>
          </w:p>
          <w:p w14:paraId="65CC2995" w14:textId="47D48E41" w:rsidR="00E80527" w:rsidRPr="00E80527" w:rsidRDefault="004C06E3" w:rsidP="00E80527">
            <w:pPr>
              <w:jc w:val="both"/>
              <w:textAlignment w:val="baseline"/>
              <w:rPr>
                <w:rFonts w:ascii="Times New Roman" w:eastAsia="Times New Roman" w:hAnsi="Times New Roman" w:cs="Times New Roman"/>
                <w:kern w:val="0"/>
                <w:lang w:eastAsia="et-EE"/>
                <w14:ligatures w14:val="none"/>
              </w:rPr>
            </w:pPr>
            <w:r w:rsidRPr="004C06E3">
              <w:rPr>
                <w:rFonts w:ascii="Times New Roman" w:eastAsia="Times New Roman" w:hAnsi="Times New Roman" w:cs="Times New Roman"/>
                <w:kern w:val="0"/>
                <w:lang w:eastAsia="et-EE"/>
                <w14:ligatures w14:val="none"/>
              </w:rPr>
              <w:t xml:space="preserve">Toetame vabatahtliku </w:t>
            </w:r>
            <w:proofErr w:type="spellStart"/>
            <w:r w:rsidRPr="004C06E3">
              <w:rPr>
                <w:rFonts w:ascii="Times New Roman" w:eastAsia="Times New Roman" w:hAnsi="Times New Roman" w:cs="Times New Roman"/>
                <w:kern w:val="0"/>
                <w:lang w:eastAsia="et-EE"/>
                <w14:ligatures w14:val="none"/>
              </w:rPr>
              <w:t>kestlikkusaruandluse</w:t>
            </w:r>
            <w:proofErr w:type="spellEnd"/>
            <w:r w:rsidRPr="004C06E3">
              <w:rPr>
                <w:rFonts w:ascii="Times New Roman" w:eastAsia="Times New Roman" w:hAnsi="Times New Roman" w:cs="Times New Roman"/>
                <w:kern w:val="0"/>
                <w:lang w:eastAsia="et-EE"/>
                <w14:ligatures w14:val="none"/>
              </w:rPr>
              <w:t xml:space="preserve"> standardi kasutamise võimalust e</w:t>
            </w:r>
            <w:r>
              <w:rPr>
                <w:rFonts w:ascii="Times New Roman" w:eastAsia="Times New Roman" w:hAnsi="Times New Roman" w:cs="Times New Roman"/>
                <w:kern w:val="0"/>
                <w:lang w:eastAsia="et-EE"/>
                <w14:ligatures w14:val="none"/>
              </w:rPr>
              <w:t>tt</w:t>
            </w:r>
            <w:r w:rsidRPr="004C06E3">
              <w:rPr>
                <w:rFonts w:ascii="Times New Roman" w:eastAsia="Times New Roman" w:hAnsi="Times New Roman" w:cs="Times New Roman"/>
                <w:kern w:val="0"/>
                <w:lang w:eastAsia="et-EE"/>
                <w14:ligatures w14:val="none"/>
              </w:rPr>
              <w:t xml:space="preserve">evõtjatele, kellele kohustuslik </w:t>
            </w:r>
            <w:proofErr w:type="spellStart"/>
            <w:r w:rsidRPr="004C06E3">
              <w:rPr>
                <w:rFonts w:ascii="Times New Roman" w:eastAsia="Times New Roman" w:hAnsi="Times New Roman" w:cs="Times New Roman"/>
                <w:kern w:val="0"/>
                <w:lang w:eastAsia="et-EE"/>
                <w14:ligatures w14:val="none"/>
              </w:rPr>
              <w:t>kestlikkusaruandlus</w:t>
            </w:r>
            <w:proofErr w:type="spellEnd"/>
            <w:r w:rsidRPr="004C06E3">
              <w:rPr>
                <w:rFonts w:ascii="Times New Roman" w:eastAsia="Times New Roman" w:hAnsi="Times New Roman" w:cs="Times New Roman"/>
                <w:kern w:val="0"/>
                <w:lang w:eastAsia="et-EE"/>
                <w14:ligatures w14:val="none"/>
              </w:rPr>
              <w:t xml:space="preserve"> ei kohaldu. Samas palume seletuskirjas selgemalt märkida, et vabatahtliku standardi kasutamine ei too iseenesest kaasa </w:t>
            </w:r>
            <w:proofErr w:type="spellStart"/>
            <w:r w:rsidRPr="004C06E3">
              <w:rPr>
                <w:rFonts w:ascii="Times New Roman" w:eastAsia="Times New Roman" w:hAnsi="Times New Roman" w:cs="Times New Roman"/>
                <w:kern w:val="0"/>
                <w:lang w:eastAsia="et-EE"/>
                <w14:ligatures w14:val="none"/>
              </w:rPr>
              <w:t>kestlikkusaruande</w:t>
            </w:r>
            <w:proofErr w:type="spellEnd"/>
            <w:r w:rsidRPr="004C06E3">
              <w:rPr>
                <w:rFonts w:ascii="Times New Roman" w:eastAsia="Times New Roman" w:hAnsi="Times New Roman" w:cs="Times New Roman"/>
                <w:kern w:val="0"/>
                <w:lang w:eastAsia="et-EE"/>
                <w14:ligatures w14:val="none"/>
              </w:rPr>
              <w:t xml:space="preserve"> audiitorkontrolli kohustust ega laienda majandusaasta aruande kohustuslikku sisu e</w:t>
            </w:r>
            <w:r>
              <w:rPr>
                <w:rFonts w:ascii="Times New Roman" w:eastAsia="Times New Roman" w:hAnsi="Times New Roman" w:cs="Times New Roman"/>
                <w:kern w:val="0"/>
                <w:lang w:eastAsia="et-EE"/>
                <w14:ligatures w14:val="none"/>
              </w:rPr>
              <w:t>tt</w:t>
            </w:r>
            <w:r w:rsidRPr="004C06E3">
              <w:rPr>
                <w:rFonts w:ascii="Times New Roman" w:eastAsia="Times New Roman" w:hAnsi="Times New Roman" w:cs="Times New Roman"/>
                <w:kern w:val="0"/>
                <w:lang w:eastAsia="et-EE"/>
                <w14:ligatures w14:val="none"/>
              </w:rPr>
              <w:t>evõtjatele, kellele raamatupidamise seaduse § 24 lõikes 2 sätestatud kohustus ei kohaldu. 3 Selline täpsustus on vajalik, et väl</w:t>
            </w:r>
            <w:r>
              <w:rPr>
                <w:rFonts w:ascii="Times New Roman" w:eastAsia="Times New Roman" w:hAnsi="Times New Roman" w:cs="Times New Roman"/>
                <w:kern w:val="0"/>
                <w:lang w:eastAsia="et-EE"/>
                <w14:ligatures w14:val="none"/>
              </w:rPr>
              <w:t>ti</w:t>
            </w:r>
            <w:r w:rsidRPr="004C06E3">
              <w:rPr>
                <w:rFonts w:ascii="Times New Roman" w:eastAsia="Times New Roman" w:hAnsi="Times New Roman" w:cs="Times New Roman"/>
                <w:kern w:val="0"/>
                <w:lang w:eastAsia="et-EE"/>
                <w14:ligatures w14:val="none"/>
              </w:rPr>
              <w:t>da olukorda, kus vabatahtlik aruandlus muutub krediidiandjate, suure</w:t>
            </w:r>
            <w:r>
              <w:rPr>
                <w:rFonts w:ascii="Times New Roman" w:eastAsia="Times New Roman" w:hAnsi="Times New Roman" w:cs="Times New Roman"/>
                <w:kern w:val="0"/>
                <w:lang w:eastAsia="et-EE"/>
                <w14:ligatures w14:val="none"/>
              </w:rPr>
              <w:t>tt</w:t>
            </w:r>
            <w:r w:rsidRPr="004C06E3">
              <w:rPr>
                <w:rFonts w:ascii="Times New Roman" w:eastAsia="Times New Roman" w:hAnsi="Times New Roman" w:cs="Times New Roman"/>
                <w:kern w:val="0"/>
                <w:lang w:eastAsia="et-EE"/>
                <w14:ligatures w14:val="none"/>
              </w:rPr>
              <w:t>evõtjate või muude turuosaliste prak</w:t>
            </w:r>
            <w:r>
              <w:rPr>
                <w:rFonts w:ascii="Times New Roman" w:eastAsia="Times New Roman" w:hAnsi="Times New Roman" w:cs="Times New Roman"/>
                <w:kern w:val="0"/>
                <w:lang w:eastAsia="et-EE"/>
                <w14:ligatures w14:val="none"/>
              </w:rPr>
              <w:t>ti</w:t>
            </w:r>
            <w:r w:rsidRPr="004C06E3">
              <w:rPr>
                <w:rFonts w:ascii="Times New Roman" w:eastAsia="Times New Roman" w:hAnsi="Times New Roman" w:cs="Times New Roman"/>
                <w:kern w:val="0"/>
                <w:lang w:eastAsia="et-EE"/>
                <w14:ligatures w14:val="none"/>
              </w:rPr>
              <w:t>ka kaudu sisuliselt kohustuslikuks ilma selge õigusliku aluseta.</w:t>
            </w:r>
          </w:p>
        </w:tc>
        <w:tc>
          <w:tcPr>
            <w:tcW w:w="2289" w:type="dxa"/>
          </w:tcPr>
          <w:p w14:paraId="64642579" w14:textId="46146D01" w:rsidR="00E80527" w:rsidRPr="00E920E2" w:rsidRDefault="00DD5255" w:rsidP="00E920E2">
            <w:pPr>
              <w:jc w:val="center"/>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Mittearvestatud</w:t>
            </w:r>
          </w:p>
        </w:tc>
        <w:tc>
          <w:tcPr>
            <w:tcW w:w="2389" w:type="dxa"/>
          </w:tcPr>
          <w:p w14:paraId="2B840A8F" w14:textId="6048F386" w:rsidR="00356EF9" w:rsidRPr="00E920E2" w:rsidRDefault="000548F8" w:rsidP="00356EF9">
            <w:pPr>
              <w:jc w:val="both"/>
              <w:textAlignment w:val="baseline"/>
              <w:rPr>
                <w:rFonts w:ascii="Times New Roman" w:eastAsia="Times New Roman" w:hAnsi="Times New Roman" w:cs="Times New Roman"/>
                <w:kern w:val="0"/>
                <w:lang w:eastAsia="et-EE"/>
                <w14:ligatures w14:val="none"/>
              </w:rPr>
            </w:pPr>
            <w:r w:rsidRPr="5596B2D2">
              <w:rPr>
                <w:rFonts w:ascii="Times New Roman" w:eastAsia="Times New Roman" w:hAnsi="Times New Roman" w:cs="Times New Roman"/>
                <w:lang w:eastAsia="et-EE"/>
              </w:rPr>
              <w:t xml:space="preserve">Mõiste </w:t>
            </w:r>
            <w:r w:rsidR="6F7A23D7" w:rsidRPr="5596B2D2">
              <w:rPr>
                <w:rFonts w:ascii="Times New Roman" w:eastAsia="Times New Roman" w:hAnsi="Times New Roman" w:cs="Times New Roman"/>
                <w:lang w:eastAsia="et-EE"/>
              </w:rPr>
              <w:t>“</w:t>
            </w:r>
            <w:r w:rsidRPr="5596B2D2">
              <w:rPr>
                <w:rFonts w:ascii="Times New Roman" w:eastAsia="Times New Roman" w:hAnsi="Times New Roman" w:cs="Times New Roman"/>
                <w:lang w:eastAsia="et-EE"/>
              </w:rPr>
              <w:t>v</w:t>
            </w:r>
            <w:r w:rsidR="00033DE9" w:rsidRPr="5596B2D2">
              <w:rPr>
                <w:rFonts w:ascii="Times New Roman" w:eastAsia="Times New Roman" w:hAnsi="Times New Roman" w:cs="Times New Roman"/>
                <w:lang w:eastAsia="et-EE"/>
              </w:rPr>
              <w:t>abatahtlik</w:t>
            </w:r>
            <w:r w:rsidR="7310F529" w:rsidRPr="5596B2D2">
              <w:rPr>
                <w:rFonts w:ascii="Times New Roman" w:eastAsia="Times New Roman" w:hAnsi="Times New Roman" w:cs="Times New Roman"/>
                <w:lang w:eastAsia="et-EE"/>
              </w:rPr>
              <w:t>”</w:t>
            </w:r>
            <w:r w:rsidR="00814D41" w:rsidRPr="5596B2D2">
              <w:rPr>
                <w:rFonts w:ascii="Times New Roman" w:eastAsia="Times New Roman" w:hAnsi="Times New Roman" w:cs="Times New Roman"/>
                <w:lang w:eastAsia="et-EE"/>
              </w:rPr>
              <w:t xml:space="preserve"> tähendus on ühene </w:t>
            </w:r>
            <w:r w:rsidR="000F4E52" w:rsidRPr="5596B2D2">
              <w:rPr>
                <w:rFonts w:ascii="Times New Roman" w:eastAsia="Times New Roman" w:hAnsi="Times New Roman" w:cs="Times New Roman"/>
                <w:lang w:eastAsia="et-EE"/>
              </w:rPr>
              <w:t>ja</w:t>
            </w:r>
            <w:r w:rsidR="00B46275" w:rsidRPr="5596B2D2">
              <w:rPr>
                <w:rFonts w:ascii="Times New Roman" w:eastAsia="Times New Roman" w:hAnsi="Times New Roman" w:cs="Times New Roman"/>
                <w:lang w:eastAsia="et-EE"/>
              </w:rPr>
              <w:t xml:space="preserve"> </w:t>
            </w:r>
            <w:r w:rsidR="28D3729B" w:rsidRPr="5596B2D2">
              <w:rPr>
                <w:rFonts w:ascii="Times New Roman" w:eastAsia="Times New Roman" w:hAnsi="Times New Roman" w:cs="Times New Roman"/>
                <w:lang w:eastAsia="et-EE"/>
              </w:rPr>
              <w:t>usutavast on see</w:t>
            </w:r>
            <w:r w:rsidR="00B10F34" w:rsidRPr="5596B2D2">
              <w:rPr>
                <w:rFonts w:ascii="Times New Roman" w:eastAsia="Times New Roman" w:hAnsi="Times New Roman" w:cs="Times New Roman"/>
                <w:lang w:eastAsia="et-EE"/>
              </w:rPr>
              <w:t xml:space="preserve"> </w:t>
            </w:r>
            <w:r w:rsidR="005754F0" w:rsidRPr="5596B2D2">
              <w:rPr>
                <w:rFonts w:ascii="Times New Roman" w:eastAsia="Times New Roman" w:hAnsi="Times New Roman" w:cs="Times New Roman"/>
                <w:lang w:eastAsia="et-EE"/>
              </w:rPr>
              <w:t xml:space="preserve">igale </w:t>
            </w:r>
            <w:r w:rsidR="00B46275" w:rsidRPr="5596B2D2">
              <w:rPr>
                <w:rFonts w:ascii="Times New Roman" w:eastAsia="Times New Roman" w:hAnsi="Times New Roman" w:cs="Times New Roman"/>
                <w:lang w:eastAsia="et-EE"/>
              </w:rPr>
              <w:t xml:space="preserve">ettevõtjale </w:t>
            </w:r>
            <w:r w:rsidR="00BA3BB4" w:rsidRPr="5596B2D2">
              <w:rPr>
                <w:rFonts w:ascii="Times New Roman" w:eastAsia="Times New Roman" w:hAnsi="Times New Roman" w:cs="Times New Roman"/>
                <w:lang w:eastAsia="et-EE"/>
              </w:rPr>
              <w:t>piisavalt arusa</w:t>
            </w:r>
            <w:r w:rsidR="002B61A2" w:rsidRPr="5596B2D2">
              <w:rPr>
                <w:rFonts w:ascii="Times New Roman" w:eastAsia="Times New Roman" w:hAnsi="Times New Roman" w:cs="Times New Roman"/>
                <w:lang w:eastAsia="et-EE"/>
              </w:rPr>
              <w:t>a</w:t>
            </w:r>
            <w:r w:rsidR="00BA3BB4" w:rsidRPr="5596B2D2">
              <w:rPr>
                <w:rFonts w:ascii="Times New Roman" w:eastAsia="Times New Roman" w:hAnsi="Times New Roman" w:cs="Times New Roman"/>
                <w:lang w:eastAsia="et-EE"/>
              </w:rPr>
              <w:t>dav</w:t>
            </w:r>
            <w:r w:rsidR="002D5BE4" w:rsidRPr="5596B2D2">
              <w:rPr>
                <w:rFonts w:ascii="Times New Roman" w:eastAsia="Times New Roman" w:hAnsi="Times New Roman" w:cs="Times New Roman"/>
                <w:lang w:eastAsia="et-EE"/>
              </w:rPr>
              <w:t xml:space="preserve"> – keegi ei saa sundida ettevõtjat</w:t>
            </w:r>
            <w:r w:rsidR="00633D06" w:rsidRPr="5596B2D2">
              <w:rPr>
                <w:rFonts w:ascii="Times New Roman" w:eastAsia="Times New Roman" w:hAnsi="Times New Roman" w:cs="Times New Roman"/>
                <w:lang w:eastAsia="et-EE"/>
              </w:rPr>
              <w:t xml:space="preserve"> koostama</w:t>
            </w:r>
            <w:r w:rsidR="002D5BE4" w:rsidRPr="5596B2D2">
              <w:rPr>
                <w:rFonts w:ascii="Times New Roman" w:eastAsia="Times New Roman" w:hAnsi="Times New Roman" w:cs="Times New Roman"/>
                <w:lang w:eastAsia="et-EE"/>
              </w:rPr>
              <w:t xml:space="preserve"> </w:t>
            </w:r>
            <w:r w:rsidR="00595E65" w:rsidRPr="5596B2D2">
              <w:rPr>
                <w:rFonts w:ascii="Times New Roman" w:eastAsia="Times New Roman" w:hAnsi="Times New Roman" w:cs="Times New Roman"/>
                <w:lang w:eastAsia="et-EE"/>
              </w:rPr>
              <w:t xml:space="preserve">vabatahtlikku </w:t>
            </w:r>
            <w:proofErr w:type="spellStart"/>
            <w:r w:rsidR="00595E65" w:rsidRPr="5596B2D2">
              <w:rPr>
                <w:rFonts w:ascii="Times New Roman" w:eastAsia="Times New Roman" w:hAnsi="Times New Roman" w:cs="Times New Roman"/>
                <w:lang w:eastAsia="et-EE"/>
              </w:rPr>
              <w:t>kestlikkusaruannet</w:t>
            </w:r>
            <w:proofErr w:type="spellEnd"/>
            <w:r w:rsidR="00595E65" w:rsidRPr="5596B2D2">
              <w:rPr>
                <w:rFonts w:ascii="Times New Roman" w:eastAsia="Times New Roman" w:hAnsi="Times New Roman" w:cs="Times New Roman"/>
                <w:lang w:eastAsia="et-EE"/>
              </w:rPr>
              <w:t>, kui ta seda ise ei soovi</w:t>
            </w:r>
            <w:r w:rsidR="00BA3BB4" w:rsidRPr="5596B2D2">
              <w:rPr>
                <w:rFonts w:ascii="Times New Roman" w:eastAsia="Times New Roman" w:hAnsi="Times New Roman" w:cs="Times New Roman"/>
                <w:lang w:eastAsia="et-EE"/>
              </w:rPr>
              <w:t>.</w:t>
            </w:r>
            <w:r w:rsidR="004074B2" w:rsidRPr="5596B2D2">
              <w:rPr>
                <w:rFonts w:ascii="Times New Roman" w:eastAsia="Times New Roman" w:hAnsi="Times New Roman" w:cs="Times New Roman"/>
                <w:lang w:eastAsia="et-EE"/>
              </w:rPr>
              <w:t xml:space="preserve"> Eestis kehtib tehinguvabadus</w:t>
            </w:r>
            <w:r w:rsidR="005F26B4" w:rsidRPr="5596B2D2">
              <w:rPr>
                <w:rFonts w:ascii="Times New Roman" w:eastAsia="Times New Roman" w:hAnsi="Times New Roman" w:cs="Times New Roman"/>
                <w:lang w:eastAsia="et-EE"/>
              </w:rPr>
              <w:t xml:space="preserve"> </w:t>
            </w:r>
            <w:r w:rsidR="00ED0FB4" w:rsidRPr="5596B2D2">
              <w:rPr>
                <w:rFonts w:ascii="Times New Roman" w:eastAsia="Times New Roman" w:hAnsi="Times New Roman" w:cs="Times New Roman"/>
                <w:lang w:eastAsia="et-EE"/>
              </w:rPr>
              <w:t xml:space="preserve">ja </w:t>
            </w:r>
            <w:r w:rsidR="003A6561" w:rsidRPr="5596B2D2">
              <w:rPr>
                <w:rFonts w:ascii="Times New Roman" w:eastAsia="Times New Roman" w:hAnsi="Times New Roman" w:cs="Times New Roman"/>
                <w:lang w:eastAsia="et-EE"/>
              </w:rPr>
              <w:t xml:space="preserve">see, mida </w:t>
            </w:r>
            <w:r w:rsidR="00364E91" w:rsidRPr="5596B2D2">
              <w:rPr>
                <w:rFonts w:ascii="Times New Roman" w:eastAsia="Times New Roman" w:hAnsi="Times New Roman" w:cs="Times New Roman"/>
                <w:lang w:eastAsia="et-EE"/>
              </w:rPr>
              <w:t xml:space="preserve">tehinguosalised </w:t>
            </w:r>
            <w:r w:rsidR="00A21B05" w:rsidRPr="5596B2D2">
              <w:rPr>
                <w:rFonts w:ascii="Times New Roman" w:eastAsia="Times New Roman" w:hAnsi="Times New Roman" w:cs="Times New Roman"/>
                <w:lang w:eastAsia="et-EE"/>
              </w:rPr>
              <w:t xml:space="preserve">lepingus </w:t>
            </w:r>
            <w:r w:rsidR="00A1547B" w:rsidRPr="5596B2D2">
              <w:rPr>
                <w:rFonts w:ascii="Times New Roman" w:eastAsia="Times New Roman" w:hAnsi="Times New Roman" w:cs="Times New Roman"/>
                <w:lang w:eastAsia="et-EE"/>
              </w:rPr>
              <w:t>teineteiselt nõuavad</w:t>
            </w:r>
            <w:r w:rsidR="00C21F19" w:rsidRPr="5596B2D2">
              <w:rPr>
                <w:rFonts w:ascii="Times New Roman" w:eastAsia="Times New Roman" w:hAnsi="Times New Roman" w:cs="Times New Roman"/>
                <w:lang w:eastAsia="et-EE"/>
              </w:rPr>
              <w:t>,</w:t>
            </w:r>
            <w:r w:rsidR="00A1547B" w:rsidRPr="5596B2D2">
              <w:rPr>
                <w:rFonts w:ascii="Times New Roman" w:eastAsia="Times New Roman" w:hAnsi="Times New Roman" w:cs="Times New Roman"/>
                <w:lang w:eastAsia="et-EE"/>
              </w:rPr>
              <w:t xml:space="preserve"> </w:t>
            </w:r>
            <w:r w:rsidR="00C21F19" w:rsidRPr="5596B2D2">
              <w:rPr>
                <w:rFonts w:ascii="Times New Roman" w:eastAsia="Times New Roman" w:hAnsi="Times New Roman" w:cs="Times New Roman"/>
                <w:lang w:eastAsia="et-EE"/>
              </w:rPr>
              <w:t>samuti see</w:t>
            </w:r>
            <w:r w:rsidR="00A21B05" w:rsidRPr="5596B2D2">
              <w:rPr>
                <w:rFonts w:ascii="Times New Roman" w:eastAsia="Times New Roman" w:hAnsi="Times New Roman" w:cs="Times New Roman"/>
                <w:lang w:eastAsia="et-EE"/>
              </w:rPr>
              <w:t>,</w:t>
            </w:r>
            <w:r w:rsidR="00A1547B" w:rsidRPr="5596B2D2">
              <w:rPr>
                <w:rFonts w:ascii="Times New Roman" w:eastAsia="Times New Roman" w:hAnsi="Times New Roman" w:cs="Times New Roman"/>
                <w:lang w:eastAsia="et-EE"/>
              </w:rPr>
              <w:t xml:space="preserve"> mi</w:t>
            </w:r>
            <w:r w:rsidR="00D2251F" w:rsidRPr="5596B2D2">
              <w:rPr>
                <w:rFonts w:ascii="Times New Roman" w:eastAsia="Times New Roman" w:hAnsi="Times New Roman" w:cs="Times New Roman"/>
                <w:lang w:eastAsia="et-EE"/>
              </w:rPr>
              <w:t xml:space="preserve">llega vastaspool </w:t>
            </w:r>
            <w:r w:rsidR="003E6B51" w:rsidRPr="5596B2D2">
              <w:rPr>
                <w:rFonts w:ascii="Times New Roman" w:eastAsia="Times New Roman" w:hAnsi="Times New Roman" w:cs="Times New Roman"/>
                <w:lang w:eastAsia="et-EE"/>
              </w:rPr>
              <w:t xml:space="preserve"> </w:t>
            </w:r>
            <w:r w:rsidR="00D2251F" w:rsidRPr="5596B2D2">
              <w:rPr>
                <w:rFonts w:ascii="Times New Roman" w:eastAsia="Times New Roman" w:hAnsi="Times New Roman" w:cs="Times New Roman"/>
                <w:lang w:eastAsia="et-EE"/>
              </w:rPr>
              <w:t xml:space="preserve">nõustub </w:t>
            </w:r>
            <w:r w:rsidR="00A1547B" w:rsidRPr="5596B2D2">
              <w:rPr>
                <w:rFonts w:ascii="Times New Roman" w:eastAsia="Times New Roman" w:hAnsi="Times New Roman" w:cs="Times New Roman"/>
                <w:lang w:eastAsia="et-EE"/>
              </w:rPr>
              <w:t xml:space="preserve">või </w:t>
            </w:r>
            <w:r w:rsidR="00D2251F" w:rsidRPr="5596B2D2">
              <w:rPr>
                <w:rFonts w:ascii="Times New Roman" w:eastAsia="Times New Roman" w:hAnsi="Times New Roman" w:cs="Times New Roman"/>
                <w:lang w:eastAsia="et-EE"/>
              </w:rPr>
              <w:t>mitte</w:t>
            </w:r>
            <w:r w:rsidR="00C21F19" w:rsidRPr="5596B2D2">
              <w:rPr>
                <w:rFonts w:ascii="Times New Roman" w:eastAsia="Times New Roman" w:hAnsi="Times New Roman" w:cs="Times New Roman"/>
                <w:lang w:eastAsia="et-EE"/>
              </w:rPr>
              <w:t>,</w:t>
            </w:r>
            <w:r w:rsidR="00D2251F" w:rsidRPr="5596B2D2">
              <w:rPr>
                <w:rFonts w:ascii="Times New Roman" w:eastAsia="Times New Roman" w:hAnsi="Times New Roman" w:cs="Times New Roman"/>
                <w:lang w:eastAsia="et-EE"/>
              </w:rPr>
              <w:t xml:space="preserve"> jääb </w:t>
            </w:r>
            <w:r w:rsidR="00491CCB" w:rsidRPr="5596B2D2">
              <w:rPr>
                <w:rFonts w:ascii="Times New Roman" w:eastAsia="Times New Roman" w:hAnsi="Times New Roman" w:cs="Times New Roman"/>
                <w:lang w:eastAsia="et-EE"/>
              </w:rPr>
              <w:t xml:space="preserve">ka edaspidi </w:t>
            </w:r>
            <w:r w:rsidR="00D2251F" w:rsidRPr="5596B2D2">
              <w:rPr>
                <w:rFonts w:ascii="Times New Roman" w:eastAsia="Times New Roman" w:hAnsi="Times New Roman" w:cs="Times New Roman"/>
                <w:lang w:eastAsia="et-EE"/>
              </w:rPr>
              <w:t xml:space="preserve">tehinguosaliste </w:t>
            </w:r>
            <w:r w:rsidR="00C21F19" w:rsidRPr="5596B2D2">
              <w:rPr>
                <w:rFonts w:ascii="Times New Roman" w:eastAsia="Times New Roman" w:hAnsi="Times New Roman" w:cs="Times New Roman"/>
                <w:lang w:eastAsia="et-EE"/>
              </w:rPr>
              <w:t xml:space="preserve">eneste </w:t>
            </w:r>
            <w:r w:rsidR="00356EF9" w:rsidRPr="5596B2D2">
              <w:rPr>
                <w:rFonts w:ascii="Times New Roman" w:eastAsia="Times New Roman" w:hAnsi="Times New Roman" w:cs="Times New Roman"/>
                <w:lang w:eastAsia="et-EE"/>
              </w:rPr>
              <w:t xml:space="preserve">vabatahtlikuks </w:t>
            </w:r>
            <w:r w:rsidR="00491CCB" w:rsidRPr="5596B2D2">
              <w:rPr>
                <w:rFonts w:ascii="Times New Roman" w:eastAsia="Times New Roman" w:hAnsi="Times New Roman" w:cs="Times New Roman"/>
                <w:lang w:eastAsia="et-EE"/>
              </w:rPr>
              <w:t xml:space="preserve">valikuks. </w:t>
            </w:r>
          </w:p>
          <w:p w14:paraId="70FE85D2" w14:textId="0A654F07" w:rsidR="00E80527" w:rsidRPr="00E920E2" w:rsidRDefault="00E80527" w:rsidP="00E920E2">
            <w:pPr>
              <w:jc w:val="both"/>
              <w:textAlignment w:val="baseline"/>
              <w:rPr>
                <w:rFonts w:ascii="Times New Roman" w:eastAsia="Times New Roman" w:hAnsi="Times New Roman" w:cs="Times New Roman"/>
                <w:kern w:val="0"/>
                <w:lang w:eastAsia="et-EE"/>
                <w14:ligatures w14:val="none"/>
              </w:rPr>
            </w:pPr>
          </w:p>
        </w:tc>
      </w:tr>
      <w:tr w:rsidR="00E80527" w:rsidRPr="00E920E2" w14:paraId="030A49E4" w14:textId="77777777" w:rsidTr="00437792">
        <w:trPr>
          <w:trHeight w:val="285"/>
        </w:trPr>
        <w:tc>
          <w:tcPr>
            <w:tcW w:w="398" w:type="dxa"/>
          </w:tcPr>
          <w:p w14:paraId="09B2D5DB" w14:textId="7BEC99FF" w:rsidR="00E80527" w:rsidRDefault="004C06E3" w:rsidP="00E920E2">
            <w:pPr>
              <w:jc w:val="both"/>
              <w:textAlignment w:val="baseline"/>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1</w:t>
            </w:r>
            <w:r w:rsidR="00035617">
              <w:rPr>
                <w:rFonts w:ascii="Times New Roman" w:eastAsia="Times New Roman" w:hAnsi="Times New Roman" w:cs="Times New Roman"/>
                <w:b/>
                <w:bCs/>
                <w:kern w:val="0"/>
                <w:lang w:eastAsia="et-EE"/>
                <w14:ligatures w14:val="none"/>
              </w:rPr>
              <w:t>5</w:t>
            </w:r>
          </w:p>
        </w:tc>
        <w:tc>
          <w:tcPr>
            <w:tcW w:w="5438" w:type="dxa"/>
          </w:tcPr>
          <w:p w14:paraId="7B55F8C0" w14:textId="724BB65C" w:rsidR="00A21EFC" w:rsidRDefault="00803409" w:rsidP="00E80527">
            <w:pPr>
              <w:jc w:val="both"/>
              <w:textAlignment w:val="baseline"/>
              <w:rPr>
                <w:rFonts w:ascii="Times New Roman" w:eastAsia="Times New Roman" w:hAnsi="Times New Roman" w:cs="Times New Roman"/>
                <w:kern w:val="0"/>
                <w:lang w:eastAsia="et-EE"/>
                <w14:ligatures w14:val="none"/>
              </w:rPr>
            </w:pPr>
            <w:r w:rsidRPr="00A21EFC">
              <w:rPr>
                <w:rFonts w:ascii="Times New Roman" w:eastAsia="Times New Roman" w:hAnsi="Times New Roman" w:cs="Times New Roman"/>
                <w:b/>
                <w:bCs/>
                <w:kern w:val="0"/>
                <w:lang w:eastAsia="et-EE"/>
                <w14:ligatures w14:val="none"/>
              </w:rPr>
              <w:t>Tagada jõustumisel selge kommunikatsioon</w:t>
            </w:r>
            <w:r w:rsidRPr="00803409">
              <w:rPr>
                <w:rFonts w:ascii="Times New Roman" w:eastAsia="Times New Roman" w:hAnsi="Times New Roman" w:cs="Times New Roman"/>
                <w:kern w:val="0"/>
                <w:lang w:eastAsia="et-EE"/>
                <w14:ligatures w14:val="none"/>
              </w:rPr>
              <w:t xml:space="preserve"> </w:t>
            </w:r>
            <w:r w:rsidRPr="00A21EFC">
              <w:rPr>
                <w:rFonts w:ascii="Times New Roman" w:eastAsia="Times New Roman" w:hAnsi="Times New Roman" w:cs="Times New Roman"/>
                <w:b/>
                <w:bCs/>
                <w:kern w:val="0"/>
                <w:lang w:eastAsia="et-EE"/>
                <w14:ligatures w14:val="none"/>
              </w:rPr>
              <w:t>e</w:t>
            </w:r>
            <w:r w:rsidR="00A21EFC">
              <w:rPr>
                <w:rFonts w:ascii="Times New Roman" w:eastAsia="Times New Roman" w:hAnsi="Times New Roman" w:cs="Times New Roman"/>
                <w:b/>
                <w:bCs/>
                <w:kern w:val="0"/>
                <w:lang w:eastAsia="et-EE"/>
                <w14:ligatures w14:val="none"/>
              </w:rPr>
              <w:t>tt</w:t>
            </w:r>
            <w:r w:rsidRPr="00A21EFC">
              <w:rPr>
                <w:rFonts w:ascii="Times New Roman" w:eastAsia="Times New Roman" w:hAnsi="Times New Roman" w:cs="Times New Roman"/>
                <w:b/>
                <w:bCs/>
                <w:kern w:val="0"/>
                <w:lang w:eastAsia="et-EE"/>
                <w14:ligatures w14:val="none"/>
              </w:rPr>
              <w:t>evõtjatele ja raamatupidajatele</w:t>
            </w:r>
            <w:r w:rsidRPr="00803409">
              <w:rPr>
                <w:rFonts w:ascii="Times New Roman" w:eastAsia="Times New Roman" w:hAnsi="Times New Roman" w:cs="Times New Roman"/>
                <w:kern w:val="0"/>
                <w:lang w:eastAsia="et-EE"/>
                <w14:ligatures w14:val="none"/>
              </w:rPr>
              <w:t xml:space="preserve"> </w:t>
            </w:r>
          </w:p>
          <w:p w14:paraId="006841EF" w14:textId="77777777" w:rsidR="00A21EFC" w:rsidRDefault="00803409" w:rsidP="00E80527">
            <w:pPr>
              <w:jc w:val="both"/>
              <w:textAlignment w:val="baseline"/>
              <w:rPr>
                <w:rFonts w:ascii="Times New Roman" w:eastAsia="Times New Roman" w:hAnsi="Times New Roman" w:cs="Times New Roman"/>
                <w:kern w:val="0"/>
                <w:lang w:eastAsia="et-EE"/>
                <w14:ligatures w14:val="none"/>
              </w:rPr>
            </w:pPr>
            <w:r w:rsidRPr="00803409">
              <w:rPr>
                <w:rFonts w:ascii="Times New Roman" w:eastAsia="Times New Roman" w:hAnsi="Times New Roman" w:cs="Times New Roman"/>
                <w:kern w:val="0"/>
                <w:lang w:eastAsia="et-EE"/>
                <w14:ligatures w14:val="none"/>
              </w:rPr>
              <w:t>Eelnõu muudatused mõjutavad otseselt raamatupidajate nõustamisprak</w:t>
            </w:r>
            <w:r w:rsidR="00A21EFC">
              <w:rPr>
                <w:rFonts w:ascii="Times New Roman" w:eastAsia="Times New Roman" w:hAnsi="Times New Roman" w:cs="Times New Roman"/>
                <w:kern w:val="0"/>
                <w:lang w:eastAsia="et-EE"/>
                <w14:ligatures w14:val="none"/>
              </w:rPr>
              <w:t>ti</w:t>
            </w:r>
            <w:r w:rsidRPr="00803409">
              <w:rPr>
                <w:rFonts w:ascii="Times New Roman" w:eastAsia="Times New Roman" w:hAnsi="Times New Roman" w:cs="Times New Roman"/>
                <w:kern w:val="0"/>
                <w:lang w:eastAsia="et-EE"/>
                <w14:ligatures w14:val="none"/>
              </w:rPr>
              <w:t>kat. Seetõ</w:t>
            </w:r>
            <w:r w:rsidR="00A21EFC">
              <w:rPr>
                <w:rFonts w:ascii="Times New Roman" w:eastAsia="Times New Roman" w:hAnsi="Times New Roman" w:cs="Times New Roman"/>
                <w:kern w:val="0"/>
                <w:lang w:eastAsia="et-EE"/>
                <w14:ligatures w14:val="none"/>
              </w:rPr>
              <w:t>tt</w:t>
            </w:r>
            <w:r w:rsidRPr="00803409">
              <w:rPr>
                <w:rFonts w:ascii="Times New Roman" w:eastAsia="Times New Roman" w:hAnsi="Times New Roman" w:cs="Times New Roman"/>
                <w:kern w:val="0"/>
                <w:lang w:eastAsia="et-EE"/>
                <w14:ligatures w14:val="none"/>
              </w:rPr>
              <w:t>u peame vajalikuks, et seaduse jõustumisel avaldataks prak</w:t>
            </w:r>
            <w:r w:rsidR="00A21EFC">
              <w:rPr>
                <w:rFonts w:ascii="Times New Roman" w:eastAsia="Times New Roman" w:hAnsi="Times New Roman" w:cs="Times New Roman"/>
                <w:kern w:val="0"/>
                <w:lang w:eastAsia="et-EE"/>
                <w14:ligatures w14:val="none"/>
              </w:rPr>
              <w:t>ti</w:t>
            </w:r>
            <w:r w:rsidRPr="00803409">
              <w:rPr>
                <w:rFonts w:ascii="Times New Roman" w:eastAsia="Times New Roman" w:hAnsi="Times New Roman" w:cs="Times New Roman"/>
                <w:kern w:val="0"/>
                <w:lang w:eastAsia="et-EE"/>
                <w14:ligatures w14:val="none"/>
              </w:rPr>
              <w:t xml:space="preserve">line kokkuvõte, mis selgitab vähemalt järgmist: </w:t>
            </w:r>
          </w:p>
          <w:p w14:paraId="3179B869" w14:textId="77777777" w:rsidR="00A21EFC" w:rsidRDefault="00A21EFC" w:rsidP="00E80527">
            <w:pPr>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1)</w:t>
            </w:r>
            <w:r w:rsidR="00803409" w:rsidRPr="00803409">
              <w:rPr>
                <w:rFonts w:ascii="Times New Roman" w:eastAsia="Times New Roman" w:hAnsi="Times New Roman" w:cs="Times New Roman"/>
                <w:kern w:val="0"/>
                <w:lang w:eastAsia="et-EE"/>
                <w14:ligatures w14:val="none"/>
              </w:rPr>
              <w:t xml:space="preserve"> millistele e</w:t>
            </w:r>
            <w:r>
              <w:rPr>
                <w:rFonts w:ascii="Times New Roman" w:eastAsia="Times New Roman" w:hAnsi="Times New Roman" w:cs="Times New Roman"/>
                <w:kern w:val="0"/>
                <w:lang w:eastAsia="et-EE"/>
                <w14:ligatures w14:val="none"/>
              </w:rPr>
              <w:t>tt</w:t>
            </w:r>
            <w:r w:rsidR="00803409" w:rsidRPr="00803409">
              <w:rPr>
                <w:rFonts w:ascii="Times New Roman" w:eastAsia="Times New Roman" w:hAnsi="Times New Roman" w:cs="Times New Roman"/>
                <w:kern w:val="0"/>
                <w:lang w:eastAsia="et-EE"/>
                <w14:ligatures w14:val="none"/>
              </w:rPr>
              <w:t xml:space="preserve">evõtjatele </w:t>
            </w:r>
            <w:proofErr w:type="spellStart"/>
            <w:r w:rsidR="00803409" w:rsidRPr="00803409">
              <w:rPr>
                <w:rFonts w:ascii="Times New Roman" w:eastAsia="Times New Roman" w:hAnsi="Times New Roman" w:cs="Times New Roman"/>
                <w:kern w:val="0"/>
                <w:lang w:eastAsia="et-EE"/>
                <w14:ligatures w14:val="none"/>
              </w:rPr>
              <w:t>kestlikkusaruande</w:t>
            </w:r>
            <w:proofErr w:type="spellEnd"/>
            <w:r w:rsidR="00803409" w:rsidRPr="00803409">
              <w:rPr>
                <w:rFonts w:ascii="Times New Roman" w:eastAsia="Times New Roman" w:hAnsi="Times New Roman" w:cs="Times New Roman"/>
                <w:kern w:val="0"/>
                <w:lang w:eastAsia="et-EE"/>
                <w14:ligatures w14:val="none"/>
              </w:rPr>
              <w:t xml:space="preserve"> koostamise kohustus edaspidi kohaldub; </w:t>
            </w:r>
          </w:p>
          <w:p w14:paraId="1592996A" w14:textId="77777777" w:rsidR="00A21EFC" w:rsidRDefault="00A21EFC" w:rsidP="00E80527">
            <w:pPr>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2)</w:t>
            </w:r>
            <w:r w:rsidR="00803409" w:rsidRPr="00803409">
              <w:rPr>
                <w:rFonts w:ascii="Times New Roman" w:eastAsia="Times New Roman" w:hAnsi="Times New Roman" w:cs="Times New Roman"/>
                <w:kern w:val="0"/>
                <w:lang w:eastAsia="et-EE"/>
                <w14:ligatures w14:val="none"/>
              </w:rPr>
              <w:t xml:space="preserve"> millistele e</w:t>
            </w:r>
            <w:r>
              <w:rPr>
                <w:rFonts w:ascii="Times New Roman" w:eastAsia="Times New Roman" w:hAnsi="Times New Roman" w:cs="Times New Roman"/>
                <w:kern w:val="0"/>
                <w:lang w:eastAsia="et-EE"/>
                <w14:ligatures w14:val="none"/>
              </w:rPr>
              <w:t>tt</w:t>
            </w:r>
            <w:r w:rsidR="00803409" w:rsidRPr="00803409">
              <w:rPr>
                <w:rFonts w:ascii="Times New Roman" w:eastAsia="Times New Roman" w:hAnsi="Times New Roman" w:cs="Times New Roman"/>
                <w:kern w:val="0"/>
                <w:lang w:eastAsia="et-EE"/>
                <w14:ligatures w14:val="none"/>
              </w:rPr>
              <w:t>evõtjatele kohustus enam ei kohaldu;</w:t>
            </w:r>
          </w:p>
          <w:p w14:paraId="2EB26F41" w14:textId="77777777" w:rsidR="00A21EFC" w:rsidRDefault="00A21EFC" w:rsidP="00E80527">
            <w:pPr>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3) </w:t>
            </w:r>
            <w:r w:rsidR="00803409" w:rsidRPr="00803409">
              <w:rPr>
                <w:rFonts w:ascii="Times New Roman" w:eastAsia="Times New Roman" w:hAnsi="Times New Roman" w:cs="Times New Roman"/>
                <w:kern w:val="0"/>
                <w:lang w:eastAsia="et-EE"/>
                <w14:ligatures w14:val="none"/>
              </w:rPr>
              <w:t xml:space="preserve">kuidas käsitleda 2025. ja 2026. majandusaastat; </w:t>
            </w:r>
            <w:r>
              <w:rPr>
                <w:rFonts w:ascii="Times New Roman" w:eastAsia="Times New Roman" w:hAnsi="Times New Roman" w:cs="Times New Roman"/>
                <w:kern w:val="0"/>
                <w:lang w:eastAsia="et-EE"/>
                <w14:ligatures w14:val="none"/>
              </w:rPr>
              <w:t xml:space="preserve">4) </w:t>
            </w:r>
            <w:r w:rsidR="00803409" w:rsidRPr="00803409">
              <w:rPr>
                <w:rFonts w:ascii="Times New Roman" w:eastAsia="Times New Roman" w:hAnsi="Times New Roman" w:cs="Times New Roman"/>
                <w:kern w:val="0"/>
                <w:lang w:eastAsia="et-EE"/>
                <w14:ligatures w14:val="none"/>
              </w:rPr>
              <w:t>millised õigused on kaitstud e</w:t>
            </w:r>
            <w:r>
              <w:rPr>
                <w:rFonts w:ascii="Times New Roman" w:eastAsia="Times New Roman" w:hAnsi="Times New Roman" w:cs="Times New Roman"/>
                <w:kern w:val="0"/>
                <w:lang w:eastAsia="et-EE"/>
                <w14:ligatures w14:val="none"/>
              </w:rPr>
              <w:t>tt</w:t>
            </w:r>
            <w:r w:rsidR="00803409" w:rsidRPr="00803409">
              <w:rPr>
                <w:rFonts w:ascii="Times New Roman" w:eastAsia="Times New Roman" w:hAnsi="Times New Roman" w:cs="Times New Roman"/>
                <w:kern w:val="0"/>
                <w:lang w:eastAsia="et-EE"/>
                <w14:ligatures w14:val="none"/>
              </w:rPr>
              <w:t xml:space="preserve">evõtjal väärtusahela teabenõuetele vastamisel; </w:t>
            </w:r>
          </w:p>
          <w:p w14:paraId="6B480B97" w14:textId="77777777" w:rsidR="00A21EFC" w:rsidRDefault="00A21EFC" w:rsidP="00E80527">
            <w:pPr>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lastRenderedPageBreak/>
              <w:t xml:space="preserve">5) </w:t>
            </w:r>
            <w:r w:rsidR="00803409" w:rsidRPr="00803409">
              <w:rPr>
                <w:rFonts w:ascii="Times New Roman" w:eastAsia="Times New Roman" w:hAnsi="Times New Roman" w:cs="Times New Roman"/>
                <w:kern w:val="0"/>
                <w:lang w:eastAsia="et-EE"/>
                <w14:ligatures w14:val="none"/>
              </w:rPr>
              <w:t xml:space="preserve">millal kohaldub </w:t>
            </w:r>
            <w:proofErr w:type="spellStart"/>
            <w:r w:rsidR="00803409" w:rsidRPr="00803409">
              <w:rPr>
                <w:rFonts w:ascii="Times New Roman" w:eastAsia="Times New Roman" w:hAnsi="Times New Roman" w:cs="Times New Roman"/>
                <w:kern w:val="0"/>
                <w:lang w:eastAsia="et-EE"/>
                <w14:ligatures w14:val="none"/>
              </w:rPr>
              <w:t>kestlikkusaruande</w:t>
            </w:r>
            <w:proofErr w:type="spellEnd"/>
            <w:r w:rsidR="00803409" w:rsidRPr="00803409">
              <w:rPr>
                <w:rFonts w:ascii="Times New Roman" w:eastAsia="Times New Roman" w:hAnsi="Times New Roman" w:cs="Times New Roman"/>
                <w:kern w:val="0"/>
                <w:lang w:eastAsia="et-EE"/>
                <w14:ligatures w14:val="none"/>
              </w:rPr>
              <w:t xml:space="preserve"> märgistamise kohustus; </w:t>
            </w:r>
          </w:p>
          <w:p w14:paraId="2CC2E908" w14:textId="05F1D0DB" w:rsidR="00E80527" w:rsidRPr="00E80527" w:rsidRDefault="00A21EFC" w:rsidP="00E80527">
            <w:pPr>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6) </w:t>
            </w:r>
            <w:r w:rsidR="00803409" w:rsidRPr="00803409">
              <w:rPr>
                <w:rFonts w:ascii="Times New Roman" w:eastAsia="Times New Roman" w:hAnsi="Times New Roman" w:cs="Times New Roman"/>
                <w:kern w:val="0"/>
                <w:lang w:eastAsia="et-EE"/>
                <w14:ligatures w14:val="none"/>
              </w:rPr>
              <w:t xml:space="preserve">millal on vabatahtlik </w:t>
            </w:r>
            <w:proofErr w:type="spellStart"/>
            <w:r w:rsidR="00803409" w:rsidRPr="00803409">
              <w:rPr>
                <w:rFonts w:ascii="Times New Roman" w:eastAsia="Times New Roman" w:hAnsi="Times New Roman" w:cs="Times New Roman"/>
                <w:kern w:val="0"/>
                <w:lang w:eastAsia="et-EE"/>
                <w14:ligatures w14:val="none"/>
              </w:rPr>
              <w:t>kestlikkusaruandlus</w:t>
            </w:r>
            <w:proofErr w:type="spellEnd"/>
            <w:r w:rsidR="00803409" w:rsidRPr="00803409">
              <w:rPr>
                <w:rFonts w:ascii="Times New Roman" w:eastAsia="Times New Roman" w:hAnsi="Times New Roman" w:cs="Times New Roman"/>
                <w:kern w:val="0"/>
                <w:lang w:eastAsia="et-EE"/>
                <w14:ligatures w14:val="none"/>
              </w:rPr>
              <w:t xml:space="preserve"> võimalik ja millal see ei ole kohustuslik.</w:t>
            </w:r>
          </w:p>
        </w:tc>
        <w:tc>
          <w:tcPr>
            <w:tcW w:w="2289" w:type="dxa"/>
          </w:tcPr>
          <w:p w14:paraId="4C72B3C5" w14:textId="11E154A9" w:rsidR="00E80527" w:rsidRPr="00E920E2" w:rsidRDefault="00356EF9" w:rsidP="00E920E2">
            <w:pPr>
              <w:jc w:val="center"/>
              <w:textAlignment w:val="baseline"/>
              <w:rPr>
                <w:rFonts w:ascii="Times New Roman" w:eastAsia="Times New Roman" w:hAnsi="Times New Roman" w:cs="Times New Roman"/>
                <w:kern w:val="0"/>
                <w:lang w:eastAsia="et-EE"/>
                <w14:ligatures w14:val="none"/>
              </w:rPr>
            </w:pPr>
            <w:r w:rsidRPr="5596B2D2">
              <w:rPr>
                <w:rFonts w:ascii="Times New Roman" w:eastAsia="Times New Roman" w:hAnsi="Times New Roman" w:cs="Times New Roman"/>
                <w:lang w:eastAsia="et-EE"/>
              </w:rPr>
              <w:lastRenderedPageBreak/>
              <w:t>Teadmiseks võetud</w:t>
            </w:r>
          </w:p>
        </w:tc>
        <w:tc>
          <w:tcPr>
            <w:tcW w:w="2389" w:type="dxa"/>
          </w:tcPr>
          <w:p w14:paraId="67675A91" w14:textId="41C13250" w:rsidR="00E80527" w:rsidRPr="00E920E2" w:rsidRDefault="00E80527" w:rsidP="00E920E2">
            <w:pPr>
              <w:jc w:val="both"/>
              <w:textAlignment w:val="baseline"/>
              <w:rPr>
                <w:rFonts w:ascii="Times New Roman" w:eastAsia="Times New Roman" w:hAnsi="Times New Roman" w:cs="Times New Roman"/>
                <w:kern w:val="0"/>
                <w:lang w:eastAsia="et-EE"/>
                <w14:ligatures w14:val="none"/>
              </w:rPr>
            </w:pPr>
          </w:p>
        </w:tc>
      </w:tr>
      <w:tr w:rsidR="00803409" w:rsidRPr="00E920E2" w14:paraId="0A6C7901" w14:textId="77777777" w:rsidTr="00437792">
        <w:trPr>
          <w:trHeight w:val="285"/>
        </w:trPr>
        <w:tc>
          <w:tcPr>
            <w:tcW w:w="398" w:type="dxa"/>
          </w:tcPr>
          <w:p w14:paraId="33150460" w14:textId="788AA5A3" w:rsidR="00803409" w:rsidRDefault="00035617" w:rsidP="00E920E2">
            <w:pPr>
              <w:jc w:val="both"/>
              <w:textAlignment w:val="baseline"/>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16</w:t>
            </w:r>
          </w:p>
        </w:tc>
        <w:tc>
          <w:tcPr>
            <w:tcW w:w="5438" w:type="dxa"/>
          </w:tcPr>
          <w:p w14:paraId="4855B163" w14:textId="301240B8" w:rsidR="00803409" w:rsidRPr="00803409" w:rsidRDefault="009D4A5D" w:rsidP="00E80527">
            <w:pPr>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E</w:t>
            </w:r>
            <w:r w:rsidRPr="009D4A5D">
              <w:rPr>
                <w:rFonts w:ascii="Times New Roman" w:eastAsia="Times New Roman" w:hAnsi="Times New Roman" w:cs="Times New Roman"/>
                <w:kern w:val="0"/>
                <w:lang w:eastAsia="et-EE"/>
                <w14:ligatures w14:val="none"/>
              </w:rPr>
              <w:t xml:space="preserve">elnõu on eesmärgilt ja </w:t>
            </w:r>
            <w:proofErr w:type="spellStart"/>
            <w:r w:rsidRPr="009D4A5D">
              <w:rPr>
                <w:rFonts w:ascii="Times New Roman" w:eastAsia="Times New Roman" w:hAnsi="Times New Roman" w:cs="Times New Roman"/>
                <w:kern w:val="0"/>
                <w:lang w:eastAsia="et-EE"/>
                <w14:ligatures w14:val="none"/>
              </w:rPr>
              <w:t>üldsuunalt</w:t>
            </w:r>
            <w:proofErr w:type="spellEnd"/>
            <w:r w:rsidRPr="009D4A5D">
              <w:rPr>
                <w:rFonts w:ascii="Times New Roman" w:eastAsia="Times New Roman" w:hAnsi="Times New Roman" w:cs="Times New Roman"/>
                <w:kern w:val="0"/>
                <w:lang w:eastAsia="et-EE"/>
                <w14:ligatures w14:val="none"/>
              </w:rPr>
              <w:t xml:space="preserve"> põhjendatud ning toetatav. Eelnõu aitab vähendada ebaproportsionaalset halduskoormust, suurendada õigusselgust ning väl</w:t>
            </w:r>
            <w:r w:rsidR="00A21EFC">
              <w:rPr>
                <w:rFonts w:ascii="Times New Roman" w:eastAsia="Times New Roman" w:hAnsi="Times New Roman" w:cs="Times New Roman"/>
                <w:kern w:val="0"/>
                <w:lang w:eastAsia="et-EE"/>
                <w14:ligatures w14:val="none"/>
              </w:rPr>
              <w:t>ti</w:t>
            </w:r>
            <w:r w:rsidRPr="009D4A5D">
              <w:rPr>
                <w:rFonts w:ascii="Times New Roman" w:eastAsia="Times New Roman" w:hAnsi="Times New Roman" w:cs="Times New Roman"/>
                <w:kern w:val="0"/>
                <w:lang w:eastAsia="et-EE"/>
                <w14:ligatures w14:val="none"/>
              </w:rPr>
              <w:t>da aruandluskohustuse ülekandumist väiksematele e</w:t>
            </w:r>
            <w:r w:rsidR="00A21EFC">
              <w:rPr>
                <w:rFonts w:ascii="Times New Roman" w:eastAsia="Times New Roman" w:hAnsi="Times New Roman" w:cs="Times New Roman"/>
                <w:kern w:val="0"/>
                <w:lang w:eastAsia="et-EE"/>
                <w14:ligatures w14:val="none"/>
              </w:rPr>
              <w:t>tt</w:t>
            </w:r>
            <w:r w:rsidRPr="009D4A5D">
              <w:rPr>
                <w:rFonts w:ascii="Times New Roman" w:eastAsia="Times New Roman" w:hAnsi="Times New Roman" w:cs="Times New Roman"/>
                <w:kern w:val="0"/>
                <w:lang w:eastAsia="et-EE"/>
                <w14:ligatures w14:val="none"/>
              </w:rPr>
              <w:t>evõtjatele ulatuses, mis ei oleks nende suurust ja haldusvõimekust arvestades proportsionaalne. Samas palume eelnõu ja seletuskirja täiendada eespool nimetatud täpsustustega, et tagada muudatuste ühetaoline mõistmine ja prak</w:t>
            </w:r>
            <w:r w:rsidR="00A21EFC">
              <w:rPr>
                <w:rFonts w:ascii="Times New Roman" w:eastAsia="Times New Roman" w:hAnsi="Times New Roman" w:cs="Times New Roman"/>
                <w:kern w:val="0"/>
                <w:lang w:eastAsia="et-EE"/>
                <w14:ligatures w14:val="none"/>
              </w:rPr>
              <w:t>ti</w:t>
            </w:r>
            <w:r w:rsidRPr="009D4A5D">
              <w:rPr>
                <w:rFonts w:ascii="Times New Roman" w:eastAsia="Times New Roman" w:hAnsi="Times New Roman" w:cs="Times New Roman"/>
                <w:kern w:val="0"/>
                <w:lang w:eastAsia="et-EE"/>
                <w14:ligatures w14:val="none"/>
              </w:rPr>
              <w:t>line rakendatavus.</w:t>
            </w:r>
          </w:p>
        </w:tc>
        <w:tc>
          <w:tcPr>
            <w:tcW w:w="2289" w:type="dxa"/>
          </w:tcPr>
          <w:p w14:paraId="1A830CFE" w14:textId="4BB014EE" w:rsidR="00803409" w:rsidRPr="00E920E2" w:rsidRDefault="7CB5A3EE" w:rsidP="00E920E2">
            <w:pPr>
              <w:jc w:val="center"/>
              <w:textAlignment w:val="baseline"/>
              <w:rPr>
                <w:rFonts w:ascii="Times New Roman" w:eastAsia="Times New Roman" w:hAnsi="Times New Roman" w:cs="Times New Roman"/>
                <w:kern w:val="0"/>
                <w:lang w:eastAsia="et-EE"/>
                <w14:ligatures w14:val="none"/>
              </w:rPr>
            </w:pPr>
            <w:r w:rsidRPr="4E361C64">
              <w:rPr>
                <w:rFonts w:ascii="Times New Roman" w:eastAsia="Times New Roman" w:hAnsi="Times New Roman" w:cs="Times New Roman"/>
                <w:lang w:eastAsia="et-EE"/>
              </w:rPr>
              <w:t>Teadmiseks võetud</w:t>
            </w:r>
          </w:p>
        </w:tc>
        <w:tc>
          <w:tcPr>
            <w:tcW w:w="2389" w:type="dxa"/>
          </w:tcPr>
          <w:p w14:paraId="30962093" w14:textId="142311D3" w:rsidR="00803409" w:rsidRPr="00E920E2" w:rsidRDefault="00803409" w:rsidP="00E920E2">
            <w:pPr>
              <w:jc w:val="both"/>
              <w:textAlignment w:val="baseline"/>
              <w:rPr>
                <w:rFonts w:ascii="Times New Roman" w:eastAsia="Times New Roman" w:hAnsi="Times New Roman" w:cs="Times New Roman"/>
                <w:kern w:val="0"/>
                <w:lang w:eastAsia="et-EE"/>
                <w14:ligatures w14:val="none"/>
              </w:rPr>
            </w:pPr>
          </w:p>
        </w:tc>
      </w:tr>
      <w:tr w:rsidR="00444C1D" w:rsidRPr="00E920E2" w14:paraId="63D311FC" w14:textId="77777777" w:rsidTr="00437792">
        <w:trPr>
          <w:trHeight w:val="285"/>
        </w:trPr>
        <w:tc>
          <w:tcPr>
            <w:tcW w:w="10514" w:type="dxa"/>
            <w:gridSpan w:val="4"/>
          </w:tcPr>
          <w:p w14:paraId="2C696EF9" w14:textId="2B8B3B69" w:rsidR="00444C1D" w:rsidRPr="00F26DA6" w:rsidRDefault="00444C1D" w:rsidP="00E920E2">
            <w:pPr>
              <w:jc w:val="both"/>
              <w:textAlignment w:val="baseline"/>
              <w:rPr>
                <w:rFonts w:ascii="Times New Roman" w:eastAsia="Times New Roman" w:hAnsi="Times New Roman" w:cs="Times New Roman"/>
                <w:b/>
                <w:bCs/>
                <w:kern w:val="0"/>
                <w:lang w:eastAsia="et-EE"/>
                <w14:ligatures w14:val="none"/>
              </w:rPr>
            </w:pPr>
            <w:r w:rsidRPr="00F26DA6">
              <w:rPr>
                <w:rFonts w:ascii="Times New Roman" w:eastAsia="Times New Roman" w:hAnsi="Times New Roman" w:cs="Times New Roman"/>
                <w:b/>
                <w:bCs/>
                <w:kern w:val="0"/>
                <w:lang w:eastAsia="et-EE"/>
                <w14:ligatures w14:val="none"/>
              </w:rPr>
              <w:t>Eesti Tööandjate Keskliit</w:t>
            </w:r>
          </w:p>
        </w:tc>
      </w:tr>
      <w:tr w:rsidR="00444C1D" w:rsidRPr="00E920E2" w14:paraId="5152DB00" w14:textId="77777777" w:rsidTr="00437792">
        <w:trPr>
          <w:trHeight w:val="285"/>
        </w:trPr>
        <w:tc>
          <w:tcPr>
            <w:tcW w:w="398" w:type="dxa"/>
          </w:tcPr>
          <w:p w14:paraId="53EC797F" w14:textId="3729BF41" w:rsidR="00444C1D" w:rsidRDefault="00035617" w:rsidP="00E920E2">
            <w:pPr>
              <w:jc w:val="both"/>
              <w:textAlignment w:val="baseline"/>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17</w:t>
            </w:r>
          </w:p>
        </w:tc>
        <w:tc>
          <w:tcPr>
            <w:tcW w:w="5438" w:type="dxa"/>
          </w:tcPr>
          <w:p w14:paraId="20D65D8C" w14:textId="48603471" w:rsidR="00444C1D" w:rsidRPr="00444C1D" w:rsidRDefault="00444C1D" w:rsidP="00444C1D">
            <w:pPr>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Toetame</w:t>
            </w:r>
            <w:r w:rsidRPr="00444C1D">
              <w:rPr>
                <w:rFonts w:ascii="Times New Roman" w:eastAsia="Times New Roman" w:hAnsi="Times New Roman" w:cs="Times New Roman"/>
                <w:kern w:val="0"/>
                <w:lang w:eastAsia="et-EE"/>
                <w14:ligatures w14:val="none"/>
              </w:rPr>
              <w:t xml:space="preserve"> eelnõu ja pea</w:t>
            </w:r>
            <w:r>
              <w:rPr>
                <w:rFonts w:ascii="Times New Roman" w:eastAsia="Times New Roman" w:hAnsi="Times New Roman" w:cs="Times New Roman"/>
                <w:kern w:val="0"/>
                <w:lang w:eastAsia="et-EE"/>
                <w14:ligatures w14:val="none"/>
              </w:rPr>
              <w:t>me</w:t>
            </w:r>
            <w:r w:rsidRPr="00444C1D">
              <w:rPr>
                <w:rFonts w:ascii="Times New Roman" w:eastAsia="Times New Roman" w:hAnsi="Times New Roman" w:cs="Times New Roman"/>
                <w:kern w:val="0"/>
                <w:lang w:eastAsia="et-EE"/>
                <w14:ligatures w14:val="none"/>
              </w:rPr>
              <w:t xml:space="preserve"> seda õigeaegseks ning vajalikuks sammuks ettevõtjate halduskoormuse vähendamisel ja konkurentsivõime tugevdamisel.</w:t>
            </w:r>
          </w:p>
          <w:p w14:paraId="5ACF9694" w14:textId="77777777" w:rsidR="00444C1D" w:rsidRPr="00444C1D" w:rsidRDefault="00444C1D" w:rsidP="00444C1D">
            <w:pPr>
              <w:jc w:val="both"/>
              <w:textAlignment w:val="baseline"/>
              <w:rPr>
                <w:rFonts w:ascii="Times New Roman" w:eastAsia="Times New Roman" w:hAnsi="Times New Roman" w:cs="Times New Roman"/>
                <w:kern w:val="0"/>
                <w:lang w:eastAsia="et-EE"/>
                <w14:ligatures w14:val="none"/>
              </w:rPr>
            </w:pPr>
            <w:r w:rsidRPr="00444C1D">
              <w:rPr>
                <w:rFonts w:ascii="Times New Roman" w:eastAsia="Times New Roman" w:hAnsi="Times New Roman" w:cs="Times New Roman"/>
                <w:kern w:val="0"/>
                <w:lang w:eastAsia="et-EE"/>
                <w14:ligatures w14:val="none"/>
              </w:rPr>
              <w:t xml:space="preserve">Toetame eelnõu eesmärki ja ülesehitust. Direktiivi (EL) 2026/470 ülevõtmine, millega </w:t>
            </w:r>
            <w:proofErr w:type="spellStart"/>
            <w:r w:rsidRPr="00444C1D">
              <w:rPr>
                <w:rFonts w:ascii="Times New Roman" w:eastAsia="Times New Roman" w:hAnsi="Times New Roman" w:cs="Times New Roman"/>
                <w:kern w:val="0"/>
                <w:lang w:eastAsia="et-EE"/>
                <w14:ligatures w14:val="none"/>
              </w:rPr>
              <w:t>kestlikkusaruandluse</w:t>
            </w:r>
            <w:proofErr w:type="spellEnd"/>
            <w:r w:rsidRPr="00444C1D">
              <w:rPr>
                <w:rFonts w:ascii="Times New Roman" w:eastAsia="Times New Roman" w:hAnsi="Times New Roman" w:cs="Times New Roman"/>
                <w:kern w:val="0"/>
                <w:lang w:eastAsia="et-EE"/>
                <w14:ligatures w14:val="none"/>
              </w:rPr>
              <w:t xml:space="preserve"> kohustus piiratakse suurettevõtjatega, kelle müügitulu ületab 450 miljonit eurot ja keskmine töötajate arv on üle 1000, muudab aruandluse proportsionaalsemaks ning keskendub ettevõtjatele, kelle mõju keskkonnale ja ühiskonnale on suurim. Senine regulatsioon oleks toonud aruandluskohustuse paljudele Eesti ettevõtetele, kelle jaoks selle täitmise kulu oleks olnud ebaproportsionaalselt suur võrreldes saadava teabe väärtusega.</w:t>
            </w:r>
          </w:p>
          <w:p w14:paraId="31FDDB8C" w14:textId="68D099FC" w:rsidR="00444C1D" w:rsidRPr="00803409" w:rsidRDefault="00444C1D" w:rsidP="00444C1D">
            <w:pPr>
              <w:jc w:val="both"/>
              <w:textAlignment w:val="baseline"/>
              <w:rPr>
                <w:rFonts w:ascii="Times New Roman" w:eastAsia="Times New Roman" w:hAnsi="Times New Roman" w:cs="Times New Roman"/>
                <w:kern w:val="0"/>
                <w:lang w:eastAsia="et-EE"/>
                <w14:ligatures w14:val="none"/>
              </w:rPr>
            </w:pPr>
            <w:r w:rsidRPr="00444C1D">
              <w:rPr>
                <w:rFonts w:ascii="Times New Roman" w:eastAsia="Times New Roman" w:hAnsi="Times New Roman" w:cs="Times New Roman"/>
                <w:kern w:val="0"/>
                <w:lang w:eastAsia="et-EE"/>
                <w14:ligatures w14:val="none"/>
              </w:rPr>
              <w:t xml:space="preserve">Toetame eelnõu kiireloomulist menetlemist. Kuna </w:t>
            </w:r>
            <w:proofErr w:type="spellStart"/>
            <w:r w:rsidRPr="00444C1D">
              <w:rPr>
                <w:rFonts w:ascii="Times New Roman" w:eastAsia="Times New Roman" w:hAnsi="Times New Roman" w:cs="Times New Roman"/>
                <w:kern w:val="0"/>
                <w:lang w:eastAsia="et-EE"/>
                <w14:ligatures w14:val="none"/>
              </w:rPr>
              <w:t>kestlikkusaruande</w:t>
            </w:r>
            <w:proofErr w:type="spellEnd"/>
            <w:r w:rsidRPr="00444C1D">
              <w:rPr>
                <w:rFonts w:ascii="Times New Roman" w:eastAsia="Times New Roman" w:hAnsi="Times New Roman" w:cs="Times New Roman"/>
                <w:kern w:val="0"/>
                <w:lang w:eastAsia="et-EE"/>
                <w14:ligatures w14:val="none"/>
              </w:rPr>
              <w:t xml:space="preserve"> ettevalmistus algab tavapäraselt mitu kuud enne aruandeperioodi lõppu, vajavad ettevõtjad, kellelt kohustus eelnõu kohaselt ära langeb, võimalikult kiiret õigusselgust, et vältida 2026. aastal või hiljem algava majandusaasta osas tarbetuid aruandlus- ja auditeerimiskulusid. Õigeaegne vastuvõtmine on otseses ettevõtjate huvides.</w:t>
            </w:r>
          </w:p>
        </w:tc>
        <w:tc>
          <w:tcPr>
            <w:tcW w:w="2289" w:type="dxa"/>
          </w:tcPr>
          <w:p w14:paraId="72DC5E9A" w14:textId="3D04CE91" w:rsidR="00444C1D" w:rsidRPr="00E920E2" w:rsidRDefault="61A69136" w:rsidP="00E920E2">
            <w:pPr>
              <w:jc w:val="center"/>
              <w:textAlignment w:val="baseline"/>
              <w:rPr>
                <w:rFonts w:ascii="Times New Roman" w:eastAsia="Times New Roman" w:hAnsi="Times New Roman" w:cs="Times New Roman"/>
                <w:kern w:val="0"/>
                <w:lang w:eastAsia="et-EE"/>
                <w14:ligatures w14:val="none"/>
              </w:rPr>
            </w:pPr>
            <w:r w:rsidRPr="40298494">
              <w:rPr>
                <w:rFonts w:ascii="Times New Roman" w:eastAsia="Times New Roman" w:hAnsi="Times New Roman" w:cs="Times New Roman"/>
                <w:lang w:eastAsia="et-EE"/>
              </w:rPr>
              <w:t xml:space="preserve">Teadmiseks </w:t>
            </w:r>
            <w:r w:rsidRPr="2B003479">
              <w:rPr>
                <w:rFonts w:ascii="Times New Roman" w:eastAsia="Times New Roman" w:hAnsi="Times New Roman" w:cs="Times New Roman"/>
                <w:lang w:eastAsia="et-EE"/>
              </w:rPr>
              <w:t>võetud</w:t>
            </w:r>
          </w:p>
        </w:tc>
        <w:tc>
          <w:tcPr>
            <w:tcW w:w="2389" w:type="dxa"/>
          </w:tcPr>
          <w:p w14:paraId="0B26247F" w14:textId="38380AF7" w:rsidR="00444C1D" w:rsidRPr="00E920E2" w:rsidRDefault="00444C1D" w:rsidP="00E920E2">
            <w:pPr>
              <w:jc w:val="both"/>
              <w:textAlignment w:val="baseline"/>
              <w:rPr>
                <w:rFonts w:ascii="Times New Roman" w:eastAsia="Times New Roman" w:hAnsi="Times New Roman" w:cs="Times New Roman"/>
                <w:kern w:val="0"/>
                <w:lang w:eastAsia="et-EE"/>
                <w14:ligatures w14:val="none"/>
              </w:rPr>
            </w:pPr>
          </w:p>
        </w:tc>
      </w:tr>
    </w:tbl>
    <w:p w14:paraId="5C210391" w14:textId="77777777" w:rsidR="00E920E2" w:rsidRDefault="00E920E2"/>
    <w:sectPr w:rsidR="00E920E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5414" w14:textId="77777777" w:rsidR="00B8351D" w:rsidRDefault="00B8351D" w:rsidP="00035617">
      <w:pPr>
        <w:spacing w:after="0" w:line="240" w:lineRule="auto"/>
      </w:pPr>
      <w:r>
        <w:separator/>
      </w:r>
    </w:p>
  </w:endnote>
  <w:endnote w:type="continuationSeparator" w:id="0">
    <w:p w14:paraId="0369E06C" w14:textId="77777777" w:rsidR="00B8351D" w:rsidRDefault="00B8351D" w:rsidP="00035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altName w:val="Century Gothic"/>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769023"/>
      <w:docPartObj>
        <w:docPartGallery w:val="Page Numbers (Bottom of Page)"/>
        <w:docPartUnique/>
      </w:docPartObj>
    </w:sdtPr>
    <w:sdtContent>
      <w:p w14:paraId="6CE75C20" w14:textId="5FB62F91" w:rsidR="00035617" w:rsidRDefault="00035617">
        <w:pPr>
          <w:pStyle w:val="Jalus"/>
          <w:jc w:val="center"/>
        </w:pPr>
        <w:r>
          <w:fldChar w:fldCharType="begin"/>
        </w:r>
        <w:r>
          <w:instrText>PAGE   \* MERGEFORMAT</w:instrText>
        </w:r>
        <w:r>
          <w:fldChar w:fldCharType="separate"/>
        </w:r>
        <w:r>
          <w:t>2</w:t>
        </w:r>
        <w:r>
          <w:fldChar w:fldCharType="end"/>
        </w:r>
      </w:p>
    </w:sdtContent>
  </w:sdt>
  <w:p w14:paraId="7178708E" w14:textId="77777777" w:rsidR="00035617" w:rsidRDefault="0003561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AE1D1" w14:textId="77777777" w:rsidR="00B8351D" w:rsidRDefault="00B8351D" w:rsidP="00035617">
      <w:pPr>
        <w:spacing w:after="0" w:line="240" w:lineRule="auto"/>
      </w:pPr>
      <w:r>
        <w:separator/>
      </w:r>
    </w:p>
  </w:footnote>
  <w:footnote w:type="continuationSeparator" w:id="0">
    <w:p w14:paraId="79D1B0DB" w14:textId="77777777" w:rsidR="00B8351D" w:rsidRDefault="00B8351D" w:rsidP="000356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3114"/>
    <w:multiLevelType w:val="hybridMultilevel"/>
    <w:tmpl w:val="FFFFFFFF"/>
    <w:lvl w:ilvl="0" w:tplc="8F00998C">
      <w:start w:val="1"/>
      <w:numFmt w:val="decimal"/>
      <w:lvlText w:val="%1)"/>
      <w:lvlJc w:val="left"/>
      <w:pPr>
        <w:ind w:left="720" w:hanging="360"/>
      </w:pPr>
    </w:lvl>
    <w:lvl w:ilvl="1" w:tplc="1C02E2BA">
      <w:start w:val="1"/>
      <w:numFmt w:val="lowerLetter"/>
      <w:lvlText w:val="%2."/>
      <w:lvlJc w:val="left"/>
      <w:pPr>
        <w:ind w:left="1440" w:hanging="360"/>
      </w:pPr>
    </w:lvl>
    <w:lvl w:ilvl="2" w:tplc="8C562E38">
      <w:start w:val="1"/>
      <w:numFmt w:val="lowerRoman"/>
      <w:lvlText w:val="%3."/>
      <w:lvlJc w:val="right"/>
      <w:pPr>
        <w:ind w:left="2160" w:hanging="180"/>
      </w:pPr>
    </w:lvl>
    <w:lvl w:ilvl="3" w:tplc="97AC389A">
      <w:start w:val="1"/>
      <w:numFmt w:val="decimal"/>
      <w:lvlText w:val="%4."/>
      <w:lvlJc w:val="left"/>
      <w:pPr>
        <w:ind w:left="2880" w:hanging="360"/>
      </w:pPr>
    </w:lvl>
    <w:lvl w:ilvl="4" w:tplc="D460024E">
      <w:start w:val="1"/>
      <w:numFmt w:val="lowerLetter"/>
      <w:lvlText w:val="%5."/>
      <w:lvlJc w:val="left"/>
      <w:pPr>
        <w:ind w:left="3600" w:hanging="360"/>
      </w:pPr>
    </w:lvl>
    <w:lvl w:ilvl="5" w:tplc="BB064CE8">
      <w:start w:val="1"/>
      <w:numFmt w:val="lowerRoman"/>
      <w:lvlText w:val="%6."/>
      <w:lvlJc w:val="right"/>
      <w:pPr>
        <w:ind w:left="4320" w:hanging="180"/>
      </w:pPr>
    </w:lvl>
    <w:lvl w:ilvl="6" w:tplc="F266B41A">
      <w:start w:val="1"/>
      <w:numFmt w:val="decimal"/>
      <w:lvlText w:val="%7."/>
      <w:lvlJc w:val="left"/>
      <w:pPr>
        <w:ind w:left="5040" w:hanging="360"/>
      </w:pPr>
    </w:lvl>
    <w:lvl w:ilvl="7" w:tplc="EB40A678">
      <w:start w:val="1"/>
      <w:numFmt w:val="lowerLetter"/>
      <w:lvlText w:val="%8."/>
      <w:lvlJc w:val="left"/>
      <w:pPr>
        <w:ind w:left="5760" w:hanging="360"/>
      </w:pPr>
    </w:lvl>
    <w:lvl w:ilvl="8" w:tplc="E2FC5E38">
      <w:start w:val="1"/>
      <w:numFmt w:val="lowerRoman"/>
      <w:lvlText w:val="%9."/>
      <w:lvlJc w:val="right"/>
      <w:pPr>
        <w:ind w:left="6480" w:hanging="180"/>
      </w:pPr>
    </w:lvl>
  </w:abstractNum>
  <w:num w:numId="1" w16cid:durableId="336271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0E2"/>
    <w:rsid w:val="00002264"/>
    <w:rsid w:val="0001068A"/>
    <w:rsid w:val="00012277"/>
    <w:rsid w:val="0002371D"/>
    <w:rsid w:val="00023A31"/>
    <w:rsid w:val="00023E2B"/>
    <w:rsid w:val="00033DE9"/>
    <w:rsid w:val="00035617"/>
    <w:rsid w:val="00040590"/>
    <w:rsid w:val="000548F8"/>
    <w:rsid w:val="00055543"/>
    <w:rsid w:val="00062E74"/>
    <w:rsid w:val="000752D6"/>
    <w:rsid w:val="000855BB"/>
    <w:rsid w:val="000A5BBF"/>
    <w:rsid w:val="000B20A0"/>
    <w:rsid w:val="000B5954"/>
    <w:rsid w:val="000C5B38"/>
    <w:rsid w:val="000D3545"/>
    <w:rsid w:val="000E07ED"/>
    <w:rsid w:val="000F4E52"/>
    <w:rsid w:val="000F5B2A"/>
    <w:rsid w:val="000F66CA"/>
    <w:rsid w:val="001021A1"/>
    <w:rsid w:val="001063F2"/>
    <w:rsid w:val="00122D7F"/>
    <w:rsid w:val="001232FB"/>
    <w:rsid w:val="00127AD1"/>
    <w:rsid w:val="00150BCC"/>
    <w:rsid w:val="001529E8"/>
    <w:rsid w:val="00152A98"/>
    <w:rsid w:val="001563C9"/>
    <w:rsid w:val="00156CBF"/>
    <w:rsid w:val="001614DB"/>
    <w:rsid w:val="00163737"/>
    <w:rsid w:val="001644FF"/>
    <w:rsid w:val="0017555B"/>
    <w:rsid w:val="001763A8"/>
    <w:rsid w:val="00182E75"/>
    <w:rsid w:val="001847B9"/>
    <w:rsid w:val="00196C93"/>
    <w:rsid w:val="001A392D"/>
    <w:rsid w:val="001B0008"/>
    <w:rsid w:val="001B0DCB"/>
    <w:rsid w:val="001C2344"/>
    <w:rsid w:val="001C3059"/>
    <w:rsid w:val="001C50E9"/>
    <w:rsid w:val="001D2B6F"/>
    <w:rsid w:val="001D6462"/>
    <w:rsid w:val="001E0F12"/>
    <w:rsid w:val="001E2FA7"/>
    <w:rsid w:val="001F0471"/>
    <w:rsid w:val="001F0E69"/>
    <w:rsid w:val="001F1154"/>
    <w:rsid w:val="002163A5"/>
    <w:rsid w:val="00216579"/>
    <w:rsid w:val="002237BF"/>
    <w:rsid w:val="002256AD"/>
    <w:rsid w:val="00236584"/>
    <w:rsid w:val="002424E1"/>
    <w:rsid w:val="002572AC"/>
    <w:rsid w:val="00262963"/>
    <w:rsid w:val="00276D9F"/>
    <w:rsid w:val="00291434"/>
    <w:rsid w:val="002A0B00"/>
    <w:rsid w:val="002A14C3"/>
    <w:rsid w:val="002A278B"/>
    <w:rsid w:val="002A7EB3"/>
    <w:rsid w:val="002B61A2"/>
    <w:rsid w:val="002C0448"/>
    <w:rsid w:val="002C6D88"/>
    <w:rsid w:val="002D5BE4"/>
    <w:rsid w:val="002D718D"/>
    <w:rsid w:val="002E1E26"/>
    <w:rsid w:val="002E5721"/>
    <w:rsid w:val="002F2AAB"/>
    <w:rsid w:val="003016D6"/>
    <w:rsid w:val="00303A55"/>
    <w:rsid w:val="00306351"/>
    <w:rsid w:val="00317B57"/>
    <w:rsid w:val="00325326"/>
    <w:rsid w:val="003274AE"/>
    <w:rsid w:val="003400AE"/>
    <w:rsid w:val="0034032A"/>
    <w:rsid w:val="00356EF9"/>
    <w:rsid w:val="0035735F"/>
    <w:rsid w:val="0036312E"/>
    <w:rsid w:val="00364E91"/>
    <w:rsid w:val="00382993"/>
    <w:rsid w:val="00386DD6"/>
    <w:rsid w:val="00393EBE"/>
    <w:rsid w:val="003A2406"/>
    <w:rsid w:val="003A6555"/>
    <w:rsid w:val="003A6561"/>
    <w:rsid w:val="003B3A15"/>
    <w:rsid w:val="003C2EC1"/>
    <w:rsid w:val="003D5995"/>
    <w:rsid w:val="003E4DB7"/>
    <w:rsid w:val="003E6B51"/>
    <w:rsid w:val="003E6E31"/>
    <w:rsid w:val="003F467F"/>
    <w:rsid w:val="003F4C03"/>
    <w:rsid w:val="003F745A"/>
    <w:rsid w:val="00400B9A"/>
    <w:rsid w:val="004074B2"/>
    <w:rsid w:val="00410BB2"/>
    <w:rsid w:val="0042012D"/>
    <w:rsid w:val="00436C1D"/>
    <w:rsid w:val="00437792"/>
    <w:rsid w:val="004444C0"/>
    <w:rsid w:val="00444C1D"/>
    <w:rsid w:val="00462424"/>
    <w:rsid w:val="00463148"/>
    <w:rsid w:val="00465A58"/>
    <w:rsid w:val="0047009A"/>
    <w:rsid w:val="004719F8"/>
    <w:rsid w:val="00472437"/>
    <w:rsid w:val="00491CCB"/>
    <w:rsid w:val="004925DC"/>
    <w:rsid w:val="00495708"/>
    <w:rsid w:val="00496004"/>
    <w:rsid w:val="004A069E"/>
    <w:rsid w:val="004A081F"/>
    <w:rsid w:val="004A58D3"/>
    <w:rsid w:val="004B0724"/>
    <w:rsid w:val="004B2A54"/>
    <w:rsid w:val="004C06E3"/>
    <w:rsid w:val="004C6162"/>
    <w:rsid w:val="004D1BDE"/>
    <w:rsid w:val="004D445B"/>
    <w:rsid w:val="004E134A"/>
    <w:rsid w:val="004E1B55"/>
    <w:rsid w:val="0051229A"/>
    <w:rsid w:val="00513125"/>
    <w:rsid w:val="005266CB"/>
    <w:rsid w:val="005271FE"/>
    <w:rsid w:val="00532090"/>
    <w:rsid w:val="00537B62"/>
    <w:rsid w:val="005411D3"/>
    <w:rsid w:val="005515C0"/>
    <w:rsid w:val="00552B47"/>
    <w:rsid w:val="00557D5A"/>
    <w:rsid w:val="00561E97"/>
    <w:rsid w:val="00570CF4"/>
    <w:rsid w:val="00575198"/>
    <w:rsid w:val="005754F0"/>
    <w:rsid w:val="00581B53"/>
    <w:rsid w:val="005822E7"/>
    <w:rsid w:val="00591C1F"/>
    <w:rsid w:val="00595E65"/>
    <w:rsid w:val="005A7416"/>
    <w:rsid w:val="005B2F21"/>
    <w:rsid w:val="005B48CC"/>
    <w:rsid w:val="005B7208"/>
    <w:rsid w:val="005B7A1E"/>
    <w:rsid w:val="005C2760"/>
    <w:rsid w:val="005C4AB3"/>
    <w:rsid w:val="005C6233"/>
    <w:rsid w:val="005D5A6F"/>
    <w:rsid w:val="005E3382"/>
    <w:rsid w:val="005E609C"/>
    <w:rsid w:val="005F0A7C"/>
    <w:rsid w:val="005F26B4"/>
    <w:rsid w:val="005F4400"/>
    <w:rsid w:val="005F70E8"/>
    <w:rsid w:val="005F7CD0"/>
    <w:rsid w:val="006019DA"/>
    <w:rsid w:val="00606D5D"/>
    <w:rsid w:val="006077EA"/>
    <w:rsid w:val="006111C4"/>
    <w:rsid w:val="00626F61"/>
    <w:rsid w:val="00633D06"/>
    <w:rsid w:val="00641AEB"/>
    <w:rsid w:val="00641BAD"/>
    <w:rsid w:val="00647D7A"/>
    <w:rsid w:val="00652DB7"/>
    <w:rsid w:val="0066575E"/>
    <w:rsid w:val="0068118D"/>
    <w:rsid w:val="00682D37"/>
    <w:rsid w:val="00687FDC"/>
    <w:rsid w:val="006939F6"/>
    <w:rsid w:val="00697F9E"/>
    <w:rsid w:val="006A1059"/>
    <w:rsid w:val="006B1ACF"/>
    <w:rsid w:val="006B6FBD"/>
    <w:rsid w:val="006C01AA"/>
    <w:rsid w:val="006C41C7"/>
    <w:rsid w:val="006C69DE"/>
    <w:rsid w:val="006C7409"/>
    <w:rsid w:val="006D23DD"/>
    <w:rsid w:val="006E1FA7"/>
    <w:rsid w:val="006E7C79"/>
    <w:rsid w:val="006F0103"/>
    <w:rsid w:val="006F26A9"/>
    <w:rsid w:val="00714BB2"/>
    <w:rsid w:val="007177AF"/>
    <w:rsid w:val="00723091"/>
    <w:rsid w:val="0073587D"/>
    <w:rsid w:val="00740846"/>
    <w:rsid w:val="0074735E"/>
    <w:rsid w:val="00750493"/>
    <w:rsid w:val="0075081C"/>
    <w:rsid w:val="00755208"/>
    <w:rsid w:val="00755C45"/>
    <w:rsid w:val="00757624"/>
    <w:rsid w:val="00771F6C"/>
    <w:rsid w:val="00776600"/>
    <w:rsid w:val="00776BC4"/>
    <w:rsid w:val="00777FBD"/>
    <w:rsid w:val="00783379"/>
    <w:rsid w:val="00790EBB"/>
    <w:rsid w:val="007A07FF"/>
    <w:rsid w:val="007A3BA8"/>
    <w:rsid w:val="007B2414"/>
    <w:rsid w:val="007B310E"/>
    <w:rsid w:val="007B41C2"/>
    <w:rsid w:val="007C598D"/>
    <w:rsid w:val="007D0E40"/>
    <w:rsid w:val="007D45C4"/>
    <w:rsid w:val="007D7E24"/>
    <w:rsid w:val="007F0906"/>
    <w:rsid w:val="007F372C"/>
    <w:rsid w:val="00803409"/>
    <w:rsid w:val="00803AC1"/>
    <w:rsid w:val="0081126C"/>
    <w:rsid w:val="00812862"/>
    <w:rsid w:val="0081372C"/>
    <w:rsid w:val="00814D41"/>
    <w:rsid w:val="00820E67"/>
    <w:rsid w:val="00821C62"/>
    <w:rsid w:val="00822153"/>
    <w:rsid w:val="008235AF"/>
    <w:rsid w:val="00827ABE"/>
    <w:rsid w:val="00830617"/>
    <w:rsid w:val="00834857"/>
    <w:rsid w:val="00835B17"/>
    <w:rsid w:val="008422F7"/>
    <w:rsid w:val="00846C87"/>
    <w:rsid w:val="00852140"/>
    <w:rsid w:val="008547F8"/>
    <w:rsid w:val="008564F6"/>
    <w:rsid w:val="00856D5C"/>
    <w:rsid w:val="00860976"/>
    <w:rsid w:val="00860EE7"/>
    <w:rsid w:val="0086464E"/>
    <w:rsid w:val="00874B56"/>
    <w:rsid w:val="008767B5"/>
    <w:rsid w:val="00892C33"/>
    <w:rsid w:val="008939E1"/>
    <w:rsid w:val="008A0235"/>
    <w:rsid w:val="008A4C6B"/>
    <w:rsid w:val="008B1A20"/>
    <w:rsid w:val="008B6D24"/>
    <w:rsid w:val="008C7FEB"/>
    <w:rsid w:val="008D0DD9"/>
    <w:rsid w:val="008D4FD5"/>
    <w:rsid w:val="008E2B45"/>
    <w:rsid w:val="008E3551"/>
    <w:rsid w:val="008E680E"/>
    <w:rsid w:val="008F38E2"/>
    <w:rsid w:val="00900982"/>
    <w:rsid w:val="009076C9"/>
    <w:rsid w:val="00926BAD"/>
    <w:rsid w:val="00936E7A"/>
    <w:rsid w:val="009441D5"/>
    <w:rsid w:val="00945293"/>
    <w:rsid w:val="00945F6A"/>
    <w:rsid w:val="00952AC7"/>
    <w:rsid w:val="009555E2"/>
    <w:rsid w:val="00963702"/>
    <w:rsid w:val="009646F6"/>
    <w:rsid w:val="009A4547"/>
    <w:rsid w:val="009B46E8"/>
    <w:rsid w:val="009B62D8"/>
    <w:rsid w:val="009B68AE"/>
    <w:rsid w:val="009C0020"/>
    <w:rsid w:val="009C01B2"/>
    <w:rsid w:val="009C7084"/>
    <w:rsid w:val="009C980A"/>
    <w:rsid w:val="009D06E4"/>
    <w:rsid w:val="009D4A5D"/>
    <w:rsid w:val="009E4A48"/>
    <w:rsid w:val="009E61D5"/>
    <w:rsid w:val="009E6B2A"/>
    <w:rsid w:val="009F0CF4"/>
    <w:rsid w:val="009F38F4"/>
    <w:rsid w:val="009F3EA9"/>
    <w:rsid w:val="00A1547B"/>
    <w:rsid w:val="00A16B86"/>
    <w:rsid w:val="00A21B05"/>
    <w:rsid w:val="00A21EFC"/>
    <w:rsid w:val="00A22CFB"/>
    <w:rsid w:val="00A2434E"/>
    <w:rsid w:val="00A31491"/>
    <w:rsid w:val="00A458A3"/>
    <w:rsid w:val="00A54CD0"/>
    <w:rsid w:val="00A64AB7"/>
    <w:rsid w:val="00A671A7"/>
    <w:rsid w:val="00A731FC"/>
    <w:rsid w:val="00A90912"/>
    <w:rsid w:val="00A913D6"/>
    <w:rsid w:val="00A918E4"/>
    <w:rsid w:val="00A9478E"/>
    <w:rsid w:val="00AA2104"/>
    <w:rsid w:val="00AB0ED3"/>
    <w:rsid w:val="00AB59D5"/>
    <w:rsid w:val="00AB64BE"/>
    <w:rsid w:val="00AC3771"/>
    <w:rsid w:val="00AC494E"/>
    <w:rsid w:val="00AD6E3A"/>
    <w:rsid w:val="00AE2AC5"/>
    <w:rsid w:val="00AF3087"/>
    <w:rsid w:val="00B06C34"/>
    <w:rsid w:val="00B07FDD"/>
    <w:rsid w:val="00B10F34"/>
    <w:rsid w:val="00B21A03"/>
    <w:rsid w:val="00B23D56"/>
    <w:rsid w:val="00B353E5"/>
    <w:rsid w:val="00B46275"/>
    <w:rsid w:val="00B465E1"/>
    <w:rsid w:val="00B504DE"/>
    <w:rsid w:val="00B55A2D"/>
    <w:rsid w:val="00B56A34"/>
    <w:rsid w:val="00B60F4F"/>
    <w:rsid w:val="00B63161"/>
    <w:rsid w:val="00B65263"/>
    <w:rsid w:val="00B81035"/>
    <w:rsid w:val="00B8351D"/>
    <w:rsid w:val="00B8357F"/>
    <w:rsid w:val="00B93391"/>
    <w:rsid w:val="00B942E0"/>
    <w:rsid w:val="00B96FC2"/>
    <w:rsid w:val="00B97D5B"/>
    <w:rsid w:val="00BA0A73"/>
    <w:rsid w:val="00BA3BB4"/>
    <w:rsid w:val="00BC2533"/>
    <w:rsid w:val="00BE3662"/>
    <w:rsid w:val="00BF3816"/>
    <w:rsid w:val="00BF4A55"/>
    <w:rsid w:val="00BF79F2"/>
    <w:rsid w:val="00C01267"/>
    <w:rsid w:val="00C11FFD"/>
    <w:rsid w:val="00C155BE"/>
    <w:rsid w:val="00C21F19"/>
    <w:rsid w:val="00C221D6"/>
    <w:rsid w:val="00C23D8E"/>
    <w:rsid w:val="00C32AE9"/>
    <w:rsid w:val="00C34C95"/>
    <w:rsid w:val="00C42F47"/>
    <w:rsid w:val="00C5254D"/>
    <w:rsid w:val="00C55E7A"/>
    <w:rsid w:val="00C57845"/>
    <w:rsid w:val="00C607A3"/>
    <w:rsid w:val="00C622AA"/>
    <w:rsid w:val="00C71FFB"/>
    <w:rsid w:val="00C803E2"/>
    <w:rsid w:val="00CA2BDF"/>
    <w:rsid w:val="00CC4BBE"/>
    <w:rsid w:val="00CD2E0E"/>
    <w:rsid w:val="00CF36E6"/>
    <w:rsid w:val="00D0411D"/>
    <w:rsid w:val="00D04C9A"/>
    <w:rsid w:val="00D05798"/>
    <w:rsid w:val="00D1181D"/>
    <w:rsid w:val="00D207CC"/>
    <w:rsid w:val="00D2251F"/>
    <w:rsid w:val="00D25A69"/>
    <w:rsid w:val="00D36F5D"/>
    <w:rsid w:val="00D4068E"/>
    <w:rsid w:val="00D45046"/>
    <w:rsid w:val="00D51224"/>
    <w:rsid w:val="00D605A5"/>
    <w:rsid w:val="00D73792"/>
    <w:rsid w:val="00D76673"/>
    <w:rsid w:val="00D77CE1"/>
    <w:rsid w:val="00D83AC2"/>
    <w:rsid w:val="00D87A20"/>
    <w:rsid w:val="00D90AC3"/>
    <w:rsid w:val="00DA05E8"/>
    <w:rsid w:val="00DA2E08"/>
    <w:rsid w:val="00DA36DB"/>
    <w:rsid w:val="00DB022A"/>
    <w:rsid w:val="00DB3988"/>
    <w:rsid w:val="00DC5497"/>
    <w:rsid w:val="00DD5255"/>
    <w:rsid w:val="00DD6878"/>
    <w:rsid w:val="00DE37B2"/>
    <w:rsid w:val="00DF14A5"/>
    <w:rsid w:val="00DF60D5"/>
    <w:rsid w:val="00E01B32"/>
    <w:rsid w:val="00E05638"/>
    <w:rsid w:val="00E11C17"/>
    <w:rsid w:val="00E12721"/>
    <w:rsid w:val="00E21704"/>
    <w:rsid w:val="00E346C4"/>
    <w:rsid w:val="00E35584"/>
    <w:rsid w:val="00E36CAB"/>
    <w:rsid w:val="00E4075A"/>
    <w:rsid w:val="00E4275C"/>
    <w:rsid w:val="00E44619"/>
    <w:rsid w:val="00E51BB4"/>
    <w:rsid w:val="00E526E5"/>
    <w:rsid w:val="00E54D86"/>
    <w:rsid w:val="00E60F0C"/>
    <w:rsid w:val="00E64423"/>
    <w:rsid w:val="00E65F6A"/>
    <w:rsid w:val="00E736E9"/>
    <w:rsid w:val="00E76843"/>
    <w:rsid w:val="00E80527"/>
    <w:rsid w:val="00E845DA"/>
    <w:rsid w:val="00E8571E"/>
    <w:rsid w:val="00E920E2"/>
    <w:rsid w:val="00E961A6"/>
    <w:rsid w:val="00E975B7"/>
    <w:rsid w:val="00EA1017"/>
    <w:rsid w:val="00EA3A8E"/>
    <w:rsid w:val="00EA65EE"/>
    <w:rsid w:val="00EC2272"/>
    <w:rsid w:val="00ED0FB4"/>
    <w:rsid w:val="00ED3116"/>
    <w:rsid w:val="00ED481C"/>
    <w:rsid w:val="00ED5FC4"/>
    <w:rsid w:val="00ED62AC"/>
    <w:rsid w:val="00ED6496"/>
    <w:rsid w:val="00ED671F"/>
    <w:rsid w:val="00EE27D8"/>
    <w:rsid w:val="00EE3892"/>
    <w:rsid w:val="00EE4678"/>
    <w:rsid w:val="00EE55D7"/>
    <w:rsid w:val="00EE744B"/>
    <w:rsid w:val="00EF70C7"/>
    <w:rsid w:val="00F00F9A"/>
    <w:rsid w:val="00F04BBC"/>
    <w:rsid w:val="00F111A8"/>
    <w:rsid w:val="00F11BD2"/>
    <w:rsid w:val="00F26DA6"/>
    <w:rsid w:val="00F3360B"/>
    <w:rsid w:val="00F33D65"/>
    <w:rsid w:val="00F42608"/>
    <w:rsid w:val="00F50294"/>
    <w:rsid w:val="00F502AB"/>
    <w:rsid w:val="00F56ACD"/>
    <w:rsid w:val="00F57BE0"/>
    <w:rsid w:val="00F608BE"/>
    <w:rsid w:val="00F62E0B"/>
    <w:rsid w:val="00F650D0"/>
    <w:rsid w:val="00F7112C"/>
    <w:rsid w:val="00F91FA3"/>
    <w:rsid w:val="00F9481F"/>
    <w:rsid w:val="00FA4213"/>
    <w:rsid w:val="00FC67AA"/>
    <w:rsid w:val="00FD1859"/>
    <w:rsid w:val="00FE15CA"/>
    <w:rsid w:val="0137D55B"/>
    <w:rsid w:val="015EA604"/>
    <w:rsid w:val="01E52B5E"/>
    <w:rsid w:val="021FC5A8"/>
    <w:rsid w:val="02616EE7"/>
    <w:rsid w:val="02A1DF03"/>
    <w:rsid w:val="02EE75EE"/>
    <w:rsid w:val="02EF3FCC"/>
    <w:rsid w:val="02FE1050"/>
    <w:rsid w:val="037CFDAA"/>
    <w:rsid w:val="03D8D7E4"/>
    <w:rsid w:val="045F5F4D"/>
    <w:rsid w:val="05313DAB"/>
    <w:rsid w:val="05A0437B"/>
    <w:rsid w:val="060657A5"/>
    <w:rsid w:val="060F9E79"/>
    <w:rsid w:val="0676E0C9"/>
    <w:rsid w:val="06CFBE3A"/>
    <w:rsid w:val="075B3E2A"/>
    <w:rsid w:val="07AECED5"/>
    <w:rsid w:val="07C21C27"/>
    <w:rsid w:val="07EEF736"/>
    <w:rsid w:val="083D880C"/>
    <w:rsid w:val="0943B61D"/>
    <w:rsid w:val="097720AF"/>
    <w:rsid w:val="09A15E95"/>
    <w:rsid w:val="09F7FCCB"/>
    <w:rsid w:val="0A051F7C"/>
    <w:rsid w:val="0A1AA665"/>
    <w:rsid w:val="0AB76CD7"/>
    <w:rsid w:val="0BC54D9F"/>
    <w:rsid w:val="0BF7E8A2"/>
    <w:rsid w:val="0C47C140"/>
    <w:rsid w:val="0C776D84"/>
    <w:rsid w:val="0C787CB9"/>
    <w:rsid w:val="0C852B9C"/>
    <w:rsid w:val="0D680EEF"/>
    <w:rsid w:val="0D82CBD5"/>
    <w:rsid w:val="0DBDF0C3"/>
    <w:rsid w:val="0DD31160"/>
    <w:rsid w:val="0DE14F71"/>
    <w:rsid w:val="0E7E8DAC"/>
    <w:rsid w:val="0EBC9658"/>
    <w:rsid w:val="0EC3E268"/>
    <w:rsid w:val="0EEF275D"/>
    <w:rsid w:val="0EF6D27C"/>
    <w:rsid w:val="0EFB949F"/>
    <w:rsid w:val="0F1EB22E"/>
    <w:rsid w:val="0F287018"/>
    <w:rsid w:val="0F949A47"/>
    <w:rsid w:val="10261E15"/>
    <w:rsid w:val="104083F1"/>
    <w:rsid w:val="1048DAC4"/>
    <w:rsid w:val="105E2BBD"/>
    <w:rsid w:val="1077E3B3"/>
    <w:rsid w:val="10BF42C7"/>
    <w:rsid w:val="10DAFDDA"/>
    <w:rsid w:val="11B796FA"/>
    <w:rsid w:val="11DA76A3"/>
    <w:rsid w:val="1200424F"/>
    <w:rsid w:val="1269279E"/>
    <w:rsid w:val="12694515"/>
    <w:rsid w:val="12798419"/>
    <w:rsid w:val="135CDBA3"/>
    <w:rsid w:val="13FE0F06"/>
    <w:rsid w:val="144698AA"/>
    <w:rsid w:val="14C6202A"/>
    <w:rsid w:val="14CC85AD"/>
    <w:rsid w:val="14F3E4E5"/>
    <w:rsid w:val="1505E3FD"/>
    <w:rsid w:val="150B67DD"/>
    <w:rsid w:val="15476AD8"/>
    <w:rsid w:val="15672FA0"/>
    <w:rsid w:val="1621CB71"/>
    <w:rsid w:val="169D05AC"/>
    <w:rsid w:val="17495EBE"/>
    <w:rsid w:val="1775DA03"/>
    <w:rsid w:val="177B8614"/>
    <w:rsid w:val="177EA125"/>
    <w:rsid w:val="17B38D8A"/>
    <w:rsid w:val="17B84C96"/>
    <w:rsid w:val="17DF9F68"/>
    <w:rsid w:val="18E703D5"/>
    <w:rsid w:val="19020929"/>
    <w:rsid w:val="192443F1"/>
    <w:rsid w:val="19294DBF"/>
    <w:rsid w:val="193AD670"/>
    <w:rsid w:val="19B8F2A4"/>
    <w:rsid w:val="1A463649"/>
    <w:rsid w:val="1A9AD7FC"/>
    <w:rsid w:val="1A9FC849"/>
    <w:rsid w:val="1AE70363"/>
    <w:rsid w:val="1B0A501E"/>
    <w:rsid w:val="1BD0957C"/>
    <w:rsid w:val="1BD66898"/>
    <w:rsid w:val="1C13A92D"/>
    <w:rsid w:val="1C44F7F1"/>
    <w:rsid w:val="1C5AEA5C"/>
    <w:rsid w:val="1CA8FE1B"/>
    <w:rsid w:val="1CFF7037"/>
    <w:rsid w:val="1D1021D5"/>
    <w:rsid w:val="1D903919"/>
    <w:rsid w:val="1DC17E2A"/>
    <w:rsid w:val="1DCB5651"/>
    <w:rsid w:val="1DD2BFB8"/>
    <w:rsid w:val="1E4EEA25"/>
    <w:rsid w:val="1E4F336A"/>
    <w:rsid w:val="1E5FD016"/>
    <w:rsid w:val="1E9466C9"/>
    <w:rsid w:val="1F06E776"/>
    <w:rsid w:val="1F1BCDC4"/>
    <w:rsid w:val="1F3FDDD6"/>
    <w:rsid w:val="1F5B1FC9"/>
    <w:rsid w:val="1F700933"/>
    <w:rsid w:val="2032D61A"/>
    <w:rsid w:val="206DFC0D"/>
    <w:rsid w:val="20C49B8F"/>
    <w:rsid w:val="21272ABE"/>
    <w:rsid w:val="21664BD6"/>
    <w:rsid w:val="21AE9FF7"/>
    <w:rsid w:val="220EB7FF"/>
    <w:rsid w:val="22189389"/>
    <w:rsid w:val="2280181B"/>
    <w:rsid w:val="22C4C84C"/>
    <w:rsid w:val="22DC3241"/>
    <w:rsid w:val="22E82E3F"/>
    <w:rsid w:val="2402929C"/>
    <w:rsid w:val="24362A8C"/>
    <w:rsid w:val="24929273"/>
    <w:rsid w:val="24BEF444"/>
    <w:rsid w:val="2565C8ED"/>
    <w:rsid w:val="25CD5FEF"/>
    <w:rsid w:val="26015DD0"/>
    <w:rsid w:val="2615B997"/>
    <w:rsid w:val="2634FF37"/>
    <w:rsid w:val="267F9E7A"/>
    <w:rsid w:val="26B3AE00"/>
    <w:rsid w:val="26D54ABA"/>
    <w:rsid w:val="278D5566"/>
    <w:rsid w:val="27AAAAC0"/>
    <w:rsid w:val="27BC6CD6"/>
    <w:rsid w:val="27D5244F"/>
    <w:rsid w:val="2880EF01"/>
    <w:rsid w:val="289450E0"/>
    <w:rsid w:val="28D3729B"/>
    <w:rsid w:val="28FF8854"/>
    <w:rsid w:val="2913951D"/>
    <w:rsid w:val="299A9295"/>
    <w:rsid w:val="2A13AC30"/>
    <w:rsid w:val="2A4E9038"/>
    <w:rsid w:val="2A7FBE34"/>
    <w:rsid w:val="2B003479"/>
    <w:rsid w:val="2B013C88"/>
    <w:rsid w:val="2BE3F3E9"/>
    <w:rsid w:val="2C2E132A"/>
    <w:rsid w:val="2C2E6A69"/>
    <w:rsid w:val="2C4720A9"/>
    <w:rsid w:val="2D180A87"/>
    <w:rsid w:val="2D6B2263"/>
    <w:rsid w:val="2E817DB6"/>
    <w:rsid w:val="2F2E5C53"/>
    <w:rsid w:val="30C19CFA"/>
    <w:rsid w:val="310EC2FC"/>
    <w:rsid w:val="311F1A96"/>
    <w:rsid w:val="316A83FC"/>
    <w:rsid w:val="31798B47"/>
    <w:rsid w:val="31EE899F"/>
    <w:rsid w:val="327D8E6A"/>
    <w:rsid w:val="329C77D8"/>
    <w:rsid w:val="33034CEA"/>
    <w:rsid w:val="346D5146"/>
    <w:rsid w:val="347AF590"/>
    <w:rsid w:val="34909FE2"/>
    <w:rsid w:val="352EF173"/>
    <w:rsid w:val="35511C25"/>
    <w:rsid w:val="362AC9BA"/>
    <w:rsid w:val="362DA80F"/>
    <w:rsid w:val="3635EBD0"/>
    <w:rsid w:val="36546680"/>
    <w:rsid w:val="366B85AD"/>
    <w:rsid w:val="366FC714"/>
    <w:rsid w:val="3719A2E5"/>
    <w:rsid w:val="371EBCBE"/>
    <w:rsid w:val="38746620"/>
    <w:rsid w:val="38A04D78"/>
    <w:rsid w:val="38C77452"/>
    <w:rsid w:val="393AA424"/>
    <w:rsid w:val="394F5329"/>
    <w:rsid w:val="39634970"/>
    <w:rsid w:val="3A376BEC"/>
    <w:rsid w:val="3AE8EF21"/>
    <w:rsid w:val="3AEA66C5"/>
    <w:rsid w:val="3AF7162F"/>
    <w:rsid w:val="3B0803CE"/>
    <w:rsid w:val="3B3FF90D"/>
    <w:rsid w:val="3BA8E22F"/>
    <w:rsid w:val="3BE51FDE"/>
    <w:rsid w:val="3C9A4592"/>
    <w:rsid w:val="3CC13B72"/>
    <w:rsid w:val="3D0CF1F8"/>
    <w:rsid w:val="3D704E44"/>
    <w:rsid w:val="3DA89BC7"/>
    <w:rsid w:val="3E16A480"/>
    <w:rsid w:val="3E43A589"/>
    <w:rsid w:val="3E6F4752"/>
    <w:rsid w:val="3E8447BD"/>
    <w:rsid w:val="3E858CE2"/>
    <w:rsid w:val="3EE7C245"/>
    <w:rsid w:val="3F5E088A"/>
    <w:rsid w:val="3FA488EC"/>
    <w:rsid w:val="40255F73"/>
    <w:rsid w:val="40298494"/>
    <w:rsid w:val="422BC873"/>
    <w:rsid w:val="42552E5C"/>
    <w:rsid w:val="4269D2AD"/>
    <w:rsid w:val="43948E54"/>
    <w:rsid w:val="4395C4B6"/>
    <w:rsid w:val="44476E8E"/>
    <w:rsid w:val="449F1E82"/>
    <w:rsid w:val="44A5BC8A"/>
    <w:rsid w:val="44AE96D4"/>
    <w:rsid w:val="45259394"/>
    <w:rsid w:val="45B2A9F9"/>
    <w:rsid w:val="45F98626"/>
    <w:rsid w:val="45F98A26"/>
    <w:rsid w:val="464CCD00"/>
    <w:rsid w:val="4692C86D"/>
    <w:rsid w:val="46AC373A"/>
    <w:rsid w:val="47B63271"/>
    <w:rsid w:val="47D8F1A9"/>
    <w:rsid w:val="47F0717F"/>
    <w:rsid w:val="47F20F95"/>
    <w:rsid w:val="482E80C9"/>
    <w:rsid w:val="48F0297B"/>
    <w:rsid w:val="491DBB7F"/>
    <w:rsid w:val="495409A3"/>
    <w:rsid w:val="497701BA"/>
    <w:rsid w:val="498241DA"/>
    <w:rsid w:val="49D94627"/>
    <w:rsid w:val="4A0F8CED"/>
    <w:rsid w:val="4A6B6A38"/>
    <w:rsid w:val="4AD70771"/>
    <w:rsid w:val="4B106F08"/>
    <w:rsid w:val="4B80D443"/>
    <w:rsid w:val="4B8883C0"/>
    <w:rsid w:val="4B8992B4"/>
    <w:rsid w:val="4BCE9351"/>
    <w:rsid w:val="4BEBE338"/>
    <w:rsid w:val="4C3A724F"/>
    <w:rsid w:val="4CBED1C6"/>
    <w:rsid w:val="4CEBBD5C"/>
    <w:rsid w:val="4CFA8087"/>
    <w:rsid w:val="4D105159"/>
    <w:rsid w:val="4D352CAD"/>
    <w:rsid w:val="4DE6C674"/>
    <w:rsid w:val="4E361C64"/>
    <w:rsid w:val="4F0AA06A"/>
    <w:rsid w:val="4F26A2FD"/>
    <w:rsid w:val="4F9AACD3"/>
    <w:rsid w:val="4FC5A9BA"/>
    <w:rsid w:val="4FD65A83"/>
    <w:rsid w:val="4FE495D4"/>
    <w:rsid w:val="504EBE8D"/>
    <w:rsid w:val="506D9C5A"/>
    <w:rsid w:val="50F1FA10"/>
    <w:rsid w:val="5198A3A1"/>
    <w:rsid w:val="522430C9"/>
    <w:rsid w:val="5246BC64"/>
    <w:rsid w:val="52D82345"/>
    <w:rsid w:val="52FF011F"/>
    <w:rsid w:val="53A1F994"/>
    <w:rsid w:val="53CDC8B4"/>
    <w:rsid w:val="53FE158E"/>
    <w:rsid w:val="542A8255"/>
    <w:rsid w:val="54668024"/>
    <w:rsid w:val="5472A0B4"/>
    <w:rsid w:val="549222A2"/>
    <w:rsid w:val="54CCD1DF"/>
    <w:rsid w:val="55544CFC"/>
    <w:rsid w:val="5596B2D2"/>
    <w:rsid w:val="55BE7774"/>
    <w:rsid w:val="55D4EF4B"/>
    <w:rsid w:val="5609907D"/>
    <w:rsid w:val="56342B96"/>
    <w:rsid w:val="56454834"/>
    <w:rsid w:val="56C0B35D"/>
    <w:rsid w:val="56C5BBF8"/>
    <w:rsid w:val="56EA3DC0"/>
    <w:rsid w:val="5745376C"/>
    <w:rsid w:val="577CF13A"/>
    <w:rsid w:val="578B9FBA"/>
    <w:rsid w:val="57A7FEC3"/>
    <w:rsid w:val="57A80C6B"/>
    <w:rsid w:val="57BFE289"/>
    <w:rsid w:val="57C12CEB"/>
    <w:rsid w:val="57CA6B94"/>
    <w:rsid w:val="57E07A3D"/>
    <w:rsid w:val="58156EBE"/>
    <w:rsid w:val="58A6255A"/>
    <w:rsid w:val="58A8E70A"/>
    <w:rsid w:val="58FA2DFE"/>
    <w:rsid w:val="596AEBC6"/>
    <w:rsid w:val="5973D649"/>
    <w:rsid w:val="59808051"/>
    <w:rsid w:val="59B92C4C"/>
    <w:rsid w:val="5A01D5D1"/>
    <w:rsid w:val="5A375B64"/>
    <w:rsid w:val="5C343B8B"/>
    <w:rsid w:val="5C99D116"/>
    <w:rsid w:val="5CCB09EB"/>
    <w:rsid w:val="5CDC03A0"/>
    <w:rsid w:val="5D6355A3"/>
    <w:rsid w:val="5DAB1867"/>
    <w:rsid w:val="5DE3DF7C"/>
    <w:rsid w:val="5E5BD5EE"/>
    <w:rsid w:val="5E63EDE4"/>
    <w:rsid w:val="5E919247"/>
    <w:rsid w:val="5EB0C499"/>
    <w:rsid w:val="5ECDF2FB"/>
    <w:rsid w:val="5EFCC2BF"/>
    <w:rsid w:val="5F6B2ACD"/>
    <w:rsid w:val="5F9D0359"/>
    <w:rsid w:val="6045D7B0"/>
    <w:rsid w:val="60EEA67E"/>
    <w:rsid w:val="61A69136"/>
    <w:rsid w:val="61AF3B1C"/>
    <w:rsid w:val="6204E84E"/>
    <w:rsid w:val="628BBE84"/>
    <w:rsid w:val="6325459D"/>
    <w:rsid w:val="635B5A74"/>
    <w:rsid w:val="6367A12F"/>
    <w:rsid w:val="63736BA3"/>
    <w:rsid w:val="63CBAA6E"/>
    <w:rsid w:val="63D20DAB"/>
    <w:rsid w:val="63E7D2FF"/>
    <w:rsid w:val="645496C4"/>
    <w:rsid w:val="65031CC9"/>
    <w:rsid w:val="651D7624"/>
    <w:rsid w:val="6533F63D"/>
    <w:rsid w:val="6575AFC5"/>
    <w:rsid w:val="657B6FB5"/>
    <w:rsid w:val="657FC6DD"/>
    <w:rsid w:val="66DB1674"/>
    <w:rsid w:val="66F16AD6"/>
    <w:rsid w:val="6718412E"/>
    <w:rsid w:val="67C862F2"/>
    <w:rsid w:val="67F3095B"/>
    <w:rsid w:val="67F466C1"/>
    <w:rsid w:val="6850325D"/>
    <w:rsid w:val="6856F8A1"/>
    <w:rsid w:val="6873CE30"/>
    <w:rsid w:val="68A51478"/>
    <w:rsid w:val="68B9DCF7"/>
    <w:rsid w:val="68BD3BD7"/>
    <w:rsid w:val="68C2485B"/>
    <w:rsid w:val="691DB308"/>
    <w:rsid w:val="69363E56"/>
    <w:rsid w:val="698E28EC"/>
    <w:rsid w:val="6A5E161A"/>
    <w:rsid w:val="6A69A350"/>
    <w:rsid w:val="6A781736"/>
    <w:rsid w:val="6AC024A9"/>
    <w:rsid w:val="6ADFE653"/>
    <w:rsid w:val="6B0A0292"/>
    <w:rsid w:val="6B6D30DD"/>
    <w:rsid w:val="6D0FDE99"/>
    <w:rsid w:val="6D28DB9B"/>
    <w:rsid w:val="6D602085"/>
    <w:rsid w:val="6D629E52"/>
    <w:rsid w:val="6D9FCFC2"/>
    <w:rsid w:val="6DCC2F5F"/>
    <w:rsid w:val="6DD38E95"/>
    <w:rsid w:val="6E1D42D8"/>
    <w:rsid w:val="6E2F1F6F"/>
    <w:rsid w:val="6E574AD8"/>
    <w:rsid w:val="6E8421BF"/>
    <w:rsid w:val="6ECA362B"/>
    <w:rsid w:val="6EDDF568"/>
    <w:rsid w:val="6EF69EAB"/>
    <w:rsid w:val="6F1566AC"/>
    <w:rsid w:val="6F7A23D7"/>
    <w:rsid w:val="6FC7EC1D"/>
    <w:rsid w:val="7019B69A"/>
    <w:rsid w:val="704032F9"/>
    <w:rsid w:val="7120B665"/>
    <w:rsid w:val="7126FE7E"/>
    <w:rsid w:val="713414A2"/>
    <w:rsid w:val="719D8695"/>
    <w:rsid w:val="71BEC1E5"/>
    <w:rsid w:val="71C6A6CE"/>
    <w:rsid w:val="722242F7"/>
    <w:rsid w:val="72589452"/>
    <w:rsid w:val="728B31F1"/>
    <w:rsid w:val="72B633D6"/>
    <w:rsid w:val="72EED6A2"/>
    <w:rsid w:val="73064BF4"/>
    <w:rsid w:val="7310F529"/>
    <w:rsid w:val="736316F0"/>
    <w:rsid w:val="73D0D7A7"/>
    <w:rsid w:val="73D88772"/>
    <w:rsid w:val="74B83D3D"/>
    <w:rsid w:val="74CD9F40"/>
    <w:rsid w:val="755E09CF"/>
    <w:rsid w:val="75B965F1"/>
    <w:rsid w:val="75CE0308"/>
    <w:rsid w:val="75E6FBC6"/>
    <w:rsid w:val="762AABA0"/>
    <w:rsid w:val="765D0F21"/>
    <w:rsid w:val="765ECD2B"/>
    <w:rsid w:val="765EF92F"/>
    <w:rsid w:val="7667FE61"/>
    <w:rsid w:val="76A8CFF0"/>
    <w:rsid w:val="776BE6A8"/>
    <w:rsid w:val="77ACD5B7"/>
    <w:rsid w:val="77C2D042"/>
    <w:rsid w:val="78069628"/>
    <w:rsid w:val="7860A994"/>
    <w:rsid w:val="7879C5E5"/>
    <w:rsid w:val="7891B434"/>
    <w:rsid w:val="78A0F7D8"/>
    <w:rsid w:val="79BFBF6A"/>
    <w:rsid w:val="79E8DD5E"/>
    <w:rsid w:val="7A4DFE47"/>
    <w:rsid w:val="7A878B52"/>
    <w:rsid w:val="7AF1645F"/>
    <w:rsid w:val="7B1DC8E2"/>
    <w:rsid w:val="7B2E77B2"/>
    <w:rsid w:val="7B3D18F0"/>
    <w:rsid w:val="7B7E3101"/>
    <w:rsid w:val="7B96A1D3"/>
    <w:rsid w:val="7BC462DD"/>
    <w:rsid w:val="7BDA7923"/>
    <w:rsid w:val="7C884EB6"/>
    <w:rsid w:val="7C925CED"/>
    <w:rsid w:val="7CB5A3EE"/>
    <w:rsid w:val="7CFA1333"/>
    <w:rsid w:val="7CFE6333"/>
    <w:rsid w:val="7D1A0AE3"/>
    <w:rsid w:val="7D2FDC41"/>
    <w:rsid w:val="7DBF11C4"/>
    <w:rsid w:val="7E61EDD4"/>
    <w:rsid w:val="7E6E7BEC"/>
    <w:rsid w:val="7F74ABB2"/>
    <w:rsid w:val="7FA64580"/>
    <w:rsid w:val="7FD2E4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04A0"/>
  <w15:chartTrackingRefBased/>
  <w15:docId w15:val="{72F1193A-A8FA-4154-892F-ABC45FC5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uiPriority w:val="9"/>
    <w:qFormat/>
    <w:rsid w:val="00E920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uiPriority w:val="9"/>
    <w:semiHidden/>
    <w:unhideWhenUsed/>
    <w:qFormat/>
    <w:rsid w:val="00E920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uiPriority w:val="9"/>
    <w:semiHidden/>
    <w:unhideWhenUsed/>
    <w:qFormat/>
    <w:rsid w:val="00E920E2"/>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uiPriority w:val="9"/>
    <w:semiHidden/>
    <w:unhideWhenUsed/>
    <w:qFormat/>
    <w:rsid w:val="00E920E2"/>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uiPriority w:val="9"/>
    <w:semiHidden/>
    <w:unhideWhenUsed/>
    <w:qFormat/>
    <w:rsid w:val="00E920E2"/>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uiPriority w:val="9"/>
    <w:semiHidden/>
    <w:unhideWhenUsed/>
    <w:qFormat/>
    <w:rsid w:val="00E920E2"/>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uiPriority w:val="9"/>
    <w:semiHidden/>
    <w:unhideWhenUsed/>
    <w:qFormat/>
    <w:rsid w:val="00E920E2"/>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uiPriority w:val="9"/>
    <w:semiHidden/>
    <w:unhideWhenUsed/>
    <w:qFormat/>
    <w:rsid w:val="00E920E2"/>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uiPriority w:val="9"/>
    <w:semiHidden/>
    <w:unhideWhenUsed/>
    <w:qFormat/>
    <w:rsid w:val="00E920E2"/>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next w:val="Normaallaad"/>
    <w:link w:val="PealkiriMrk"/>
    <w:uiPriority w:val="10"/>
    <w:qFormat/>
    <w:rsid w:val="00E920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920E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920E2"/>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920E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920E2"/>
    <w:pPr>
      <w:spacing w:before="160"/>
      <w:jc w:val="center"/>
    </w:pPr>
    <w:rPr>
      <w:i/>
      <w:iCs/>
      <w:color w:val="404040" w:themeColor="text1" w:themeTint="BF"/>
    </w:rPr>
  </w:style>
  <w:style w:type="character" w:customStyle="1" w:styleId="TsitaatMrk">
    <w:name w:val="Tsitaat Märk"/>
    <w:basedOn w:val="Liguvaikefont"/>
    <w:link w:val="Tsitaat"/>
    <w:uiPriority w:val="29"/>
    <w:rsid w:val="00E920E2"/>
    <w:rPr>
      <w:i/>
      <w:iCs/>
      <w:color w:val="404040" w:themeColor="text1" w:themeTint="BF"/>
    </w:rPr>
  </w:style>
  <w:style w:type="paragraph" w:styleId="Loendilik">
    <w:name w:val="List Paragraph"/>
    <w:basedOn w:val="Normaallaad"/>
    <w:uiPriority w:val="34"/>
    <w:qFormat/>
    <w:rsid w:val="00E920E2"/>
    <w:pPr>
      <w:ind w:left="720"/>
      <w:contextualSpacing/>
    </w:pPr>
  </w:style>
  <w:style w:type="character" w:styleId="Selgeltmrgatavrhutus">
    <w:name w:val="Intense Emphasis"/>
    <w:basedOn w:val="Liguvaikefont"/>
    <w:uiPriority w:val="21"/>
    <w:qFormat/>
    <w:rsid w:val="00E920E2"/>
    <w:rPr>
      <w:i/>
      <w:iCs/>
      <w:color w:val="0F4761" w:themeColor="accent1" w:themeShade="BF"/>
    </w:rPr>
  </w:style>
  <w:style w:type="paragraph" w:styleId="Selgeltmrgatavtsitaat">
    <w:name w:val="Intense Quote"/>
    <w:basedOn w:val="Normaallaad"/>
    <w:next w:val="Normaallaad"/>
    <w:link w:val="SelgeltmrgatavtsitaatMrk"/>
    <w:uiPriority w:val="30"/>
    <w:qFormat/>
    <w:rsid w:val="00E92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920E2"/>
    <w:rPr>
      <w:i/>
      <w:iCs/>
      <w:color w:val="0F4761" w:themeColor="accent1" w:themeShade="BF"/>
    </w:rPr>
  </w:style>
  <w:style w:type="character" w:styleId="Selgeltmrgatavviide">
    <w:name w:val="Intense Reference"/>
    <w:basedOn w:val="Liguvaikefont"/>
    <w:uiPriority w:val="32"/>
    <w:qFormat/>
    <w:rsid w:val="00E920E2"/>
    <w:rPr>
      <w:b/>
      <w:bCs/>
      <w:smallCaps/>
      <w:color w:val="0F4761" w:themeColor="accent1" w:themeShade="BF"/>
      <w:spacing w:val="5"/>
    </w:rPr>
  </w:style>
  <w:style w:type="character" w:customStyle="1" w:styleId="Pealkiri1Mrk">
    <w:name w:val="Pealkiri 1 Märk"/>
    <w:basedOn w:val="Liguvaikefont"/>
    <w:uiPriority w:val="9"/>
    <w:rsid w:val="00D4068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uiPriority w:val="9"/>
    <w:semiHidden/>
    <w:rsid w:val="00D4068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uiPriority w:val="9"/>
    <w:semiHidden/>
    <w:rsid w:val="00D4068E"/>
    <w:rPr>
      <w:rFonts w:eastAsiaTheme="majorEastAsia" w:cstheme="majorBidi"/>
      <w:color w:val="0F4761" w:themeColor="accent1" w:themeShade="BF"/>
      <w:sz w:val="28"/>
      <w:szCs w:val="28"/>
    </w:rPr>
  </w:style>
  <w:style w:type="character" w:customStyle="1" w:styleId="Pealkiri4Mrk">
    <w:name w:val="Pealkiri 4 Märk"/>
    <w:basedOn w:val="Liguvaikefont"/>
    <w:uiPriority w:val="9"/>
    <w:semiHidden/>
    <w:rsid w:val="00D4068E"/>
    <w:rPr>
      <w:rFonts w:eastAsiaTheme="majorEastAsia" w:cstheme="majorBidi"/>
      <w:i/>
      <w:iCs/>
      <w:color w:val="0F4761" w:themeColor="accent1" w:themeShade="BF"/>
    </w:rPr>
  </w:style>
  <w:style w:type="character" w:customStyle="1" w:styleId="Pealkiri5Mrk">
    <w:name w:val="Pealkiri 5 Märk"/>
    <w:basedOn w:val="Liguvaikefont"/>
    <w:uiPriority w:val="9"/>
    <w:semiHidden/>
    <w:rsid w:val="00D4068E"/>
    <w:rPr>
      <w:rFonts w:eastAsiaTheme="majorEastAsia" w:cstheme="majorBidi"/>
      <w:color w:val="0F4761" w:themeColor="accent1" w:themeShade="BF"/>
    </w:rPr>
  </w:style>
  <w:style w:type="character" w:customStyle="1" w:styleId="Pealkiri6Mrk">
    <w:name w:val="Pealkiri 6 Märk"/>
    <w:basedOn w:val="Liguvaikefont"/>
    <w:uiPriority w:val="9"/>
    <w:semiHidden/>
    <w:rsid w:val="00D4068E"/>
    <w:rPr>
      <w:rFonts w:eastAsiaTheme="majorEastAsia" w:cstheme="majorBidi"/>
      <w:i/>
      <w:iCs/>
      <w:color w:val="595959" w:themeColor="text1" w:themeTint="A6"/>
    </w:rPr>
  </w:style>
  <w:style w:type="character" w:customStyle="1" w:styleId="Pealkiri7Mrk">
    <w:name w:val="Pealkiri 7 Märk"/>
    <w:basedOn w:val="Liguvaikefont"/>
    <w:uiPriority w:val="9"/>
    <w:semiHidden/>
    <w:rsid w:val="00D4068E"/>
    <w:rPr>
      <w:rFonts w:eastAsiaTheme="majorEastAsia" w:cstheme="majorBidi"/>
      <w:color w:val="595959" w:themeColor="text1" w:themeTint="A6"/>
    </w:rPr>
  </w:style>
  <w:style w:type="character" w:customStyle="1" w:styleId="Pealkiri8Mrk">
    <w:name w:val="Pealkiri 8 Märk"/>
    <w:basedOn w:val="Liguvaikefont"/>
    <w:uiPriority w:val="9"/>
    <w:semiHidden/>
    <w:rsid w:val="00D4068E"/>
    <w:rPr>
      <w:rFonts w:eastAsiaTheme="majorEastAsia" w:cstheme="majorBidi"/>
      <w:i/>
      <w:iCs/>
      <w:color w:val="272727" w:themeColor="text1" w:themeTint="D8"/>
    </w:rPr>
  </w:style>
  <w:style w:type="character" w:customStyle="1" w:styleId="Pealkiri9Mrk">
    <w:name w:val="Pealkiri 9 Märk"/>
    <w:basedOn w:val="Liguvaikefont"/>
    <w:uiPriority w:val="9"/>
    <w:semiHidden/>
    <w:rsid w:val="00D4068E"/>
    <w:rPr>
      <w:rFonts w:eastAsiaTheme="majorEastAsia" w:cstheme="majorBidi"/>
      <w:color w:val="272727" w:themeColor="text1" w:themeTint="D8"/>
    </w:rPr>
  </w:style>
  <w:style w:type="table" w:styleId="Kontuurtabel">
    <w:name w:val="Table Grid"/>
    <w:basedOn w:val="Normaal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035617"/>
    <w:pPr>
      <w:tabs>
        <w:tab w:val="center" w:pos="4536"/>
        <w:tab w:val="right" w:pos="9072"/>
      </w:tabs>
      <w:spacing w:after="0" w:line="240" w:lineRule="auto"/>
    </w:pPr>
  </w:style>
  <w:style w:type="character" w:customStyle="1" w:styleId="PisMrk">
    <w:name w:val="Päis Märk"/>
    <w:basedOn w:val="Liguvaikefont"/>
    <w:link w:val="Pis"/>
    <w:uiPriority w:val="99"/>
    <w:rsid w:val="00035617"/>
  </w:style>
  <w:style w:type="paragraph" w:styleId="Jalus">
    <w:name w:val="footer"/>
    <w:basedOn w:val="Normaallaad"/>
    <w:link w:val="JalusMrk"/>
    <w:uiPriority w:val="99"/>
    <w:unhideWhenUsed/>
    <w:rsid w:val="00035617"/>
    <w:pPr>
      <w:tabs>
        <w:tab w:val="center" w:pos="4536"/>
        <w:tab w:val="right" w:pos="9072"/>
      </w:tabs>
      <w:spacing w:after="0" w:line="240" w:lineRule="auto"/>
    </w:pPr>
  </w:style>
  <w:style w:type="character" w:customStyle="1" w:styleId="JalusMrk">
    <w:name w:val="Jalus Märk"/>
    <w:basedOn w:val="Liguvaikefont"/>
    <w:link w:val="Jalus"/>
    <w:uiPriority w:val="99"/>
    <w:rsid w:val="00035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C10EF-E9FA-447C-849A-18D4F5E16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35211E-A352-4E56-846B-DE0F4CBDF186}">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3.xml><?xml version="1.0" encoding="utf-8"?>
<ds:datastoreItem xmlns:ds="http://schemas.openxmlformats.org/officeDocument/2006/customXml" ds:itemID="{E5252C2E-455E-49D6-A0CE-1086EE6A3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2758</Words>
  <Characters>16003</Characters>
  <Application>Microsoft Office Word</Application>
  <DocSecurity>0</DocSecurity>
  <Lines>133</Lines>
  <Paragraphs>37</Paragraphs>
  <ScaleCrop>false</ScaleCrop>
  <Company/>
  <LinksUpToDate>false</LinksUpToDate>
  <CharactersWithSpaces>18724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 Rahlin - RAM</dc:creator>
  <cp:keywords/>
  <dc:description/>
  <cp:lastModifiedBy>Heili Tõnisson - RK</cp:lastModifiedBy>
  <cp:revision>4</cp:revision>
  <dcterms:created xsi:type="dcterms:W3CDTF">2026-07-01T07:27:00Z</dcterms:created>
  <dcterms:modified xsi:type="dcterms:W3CDTF">2026-07-02T08:28:00Z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2026-06-08T09:37:43Z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cb16b437-47b9-4160-b830-3e7320690297</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